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</w:rPr>
        <w:t xml:space="preserve">ИНФОРМАЦИОННОЕ СООБЩЕНИЕ</w:t>
      </w:r>
      <w:r>
        <w:rPr>
          <w:b/>
          <w:bCs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bCs/>
        </w:rPr>
        <w:t xml:space="preserve">О ПРОВЕДЕНИИ ПРОДАЖИ ГОСУДАРСТВЕН</w:t>
      </w:r>
      <w:r>
        <w:rPr>
          <w:b/>
          <w:bCs/>
        </w:rPr>
        <w:t xml:space="preserve">Н</w:t>
      </w:r>
      <w:r>
        <w:rPr>
          <w:b/>
          <w:bCs/>
        </w:rPr>
        <w:t xml:space="preserve">ОГО ИМУЩЕСТВА</w:t>
      </w:r>
      <w:r>
        <w:rPr>
          <w:b/>
          <w:bCs/>
        </w:rPr>
        <w:t xml:space="preserve"> КОСТРОМСКОЙ ОБЛАСТИ</w:t>
      </w:r>
      <w:r>
        <w:rPr>
          <w:b/>
          <w:bCs/>
        </w:rPr>
        <w:t xml:space="preserve"> </w:t>
      </w:r>
      <w:r>
        <w:rPr>
          <w:b/>
          <w:bCs/>
        </w:rPr>
        <w:t xml:space="preserve">НА АУКЦИОНЕ </w:t>
      </w:r>
      <w:r>
        <w:rPr>
          <w:b/>
          <w:bCs/>
        </w:rPr>
        <w:t xml:space="preserve">В ЭЛЕКТРОННОЙ ФОРМЕ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firstLine="567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Департамент имущественных и земельных отношений Костромской области </w:t>
      </w:r>
      <w:r>
        <w:rPr>
          <w:bCs/>
        </w:rPr>
        <w:t xml:space="preserve">(</w:t>
      </w:r>
      <w:r>
        <w:rPr>
          <w:bCs/>
        </w:rPr>
        <w:t xml:space="preserve">далее – Департамент</w:t>
      </w:r>
      <w:r>
        <w:rPr>
          <w:bCs/>
        </w:rPr>
        <w:t xml:space="preserve">, Продавец) объявляет о проведении</w:t>
      </w:r>
      <w:r>
        <w:rPr>
          <w:bCs/>
        </w:rPr>
        <w:t xml:space="preserve"> </w:t>
      </w:r>
      <w:r>
        <w:rPr>
          <w:b/>
        </w:rPr>
        <w:t xml:space="preserve">30 января 2026 года</w:t>
      </w:r>
      <w:r>
        <w:rPr>
          <w:b/>
        </w:rPr>
        <w:t xml:space="preserve"> в 11.00 часов по московскому времени</w:t>
      </w:r>
      <w:r>
        <w:rPr>
          <w:bCs/>
        </w:rPr>
        <w:t xml:space="preserve"> </w:t>
      </w:r>
      <w:r>
        <w:rPr>
          <w:bCs/>
        </w:rPr>
        <w:t xml:space="preserve">аукциона по продаже</w:t>
      </w:r>
      <w:r>
        <w:rPr>
          <w:bCs/>
        </w:rPr>
        <w:t xml:space="preserve"> государственного имущества Костромской области </w:t>
      </w:r>
      <w:r>
        <w:rPr>
          <w:bCs/>
        </w:rPr>
        <w:t xml:space="preserve">в </w:t>
      </w:r>
      <w:r>
        <w:rPr>
          <w:bCs/>
        </w:rPr>
        <w:t xml:space="preserve">электронной форме</w:t>
      </w:r>
      <w:r>
        <w:rPr>
          <w:bCs/>
        </w:rPr>
        <w:t xml:space="preserve"> </w:t>
      </w:r>
      <w:r>
        <w:rPr>
          <w:bCs/>
        </w:rPr>
        <w:t xml:space="preserve">(далее</w:t>
      </w:r>
      <w:r>
        <w:rPr>
          <w:bCs/>
        </w:rPr>
        <w:t xml:space="preserve"> </w:t>
      </w:r>
      <w:r>
        <w:rPr>
          <w:bCs/>
        </w:rPr>
        <w:t xml:space="preserve">– </w:t>
      </w:r>
      <w:r>
        <w:rPr>
          <w:bCs/>
        </w:rPr>
        <w:t xml:space="preserve">продажа имущества).</w:t>
      </w:r>
      <w:r>
        <w:rPr>
          <w:bCs/>
        </w:rPr>
        <w:t xml:space="preserve"> </w:t>
      </w:r>
      <w:r>
        <w:rPr>
          <w:bCs/>
        </w:rPr>
        <w:t xml:space="preserve">Продажа имущества проводится в </w:t>
      </w:r>
      <w:r>
        <w:rPr>
          <w:bCs/>
        </w:rPr>
        <w:t xml:space="preserve">соответствии с</w:t>
      </w:r>
      <w:r>
        <w:rPr>
          <w:bCs/>
        </w:rPr>
        <w:t xml:space="preserve"> Федеральным законом от 21 декабря 2001 года № 178-ФЗ</w:t>
      </w:r>
      <w:r>
        <w:rPr>
          <w:bCs/>
        </w:rPr>
        <w:t xml:space="preserve"> </w:t>
      </w:r>
      <w:r>
        <w:rPr>
          <w:bCs/>
        </w:rPr>
        <w:t xml:space="preserve">«О приватизации государственного и муниципального имущества», постановлением Правительства Российской Федерации от 27</w:t>
      </w:r>
      <w:r>
        <w:rPr>
          <w:bCs/>
        </w:rPr>
        <w:t xml:space="preserve"> августа </w:t>
      </w:r>
      <w:r>
        <w:rPr>
          <w:bCs/>
        </w:rPr>
        <w:t xml:space="preserve">2012 года № 860 «Об организации и проведении продажи государственного или муниципального имущества в электронной форме»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023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6"/>
        <w:gridCol w:w="2551"/>
        <w:gridCol w:w="7229"/>
      </w:tblGrid>
      <w:tr>
        <w:tblPrEx/>
        <w:trPr>
          <w:trHeight w:val="2081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bCs/>
              </w:rPr>
              <w:t xml:space="preserve">Продавец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pStyle w:val="952"/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Департамент имущественных и земельных отношений Костромской области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52"/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Место нахождения: 1</w:t>
            </w:r>
            <w:r>
              <w:rPr>
                <w:bCs/>
              </w:rPr>
              <w:t xml:space="preserve">56013</w:t>
            </w:r>
            <w:r>
              <w:rPr>
                <w:bCs/>
              </w:rPr>
              <w:t xml:space="preserve">, </w:t>
            </w:r>
            <w:r>
              <w:rPr>
                <w:bCs/>
              </w:rPr>
              <w:t xml:space="preserve">Костромская область, </w:t>
            </w:r>
            <w:r>
              <w:rPr>
                <w:bCs/>
              </w:rPr>
              <w:t xml:space="preserve">г. Кострома, ул.</w:t>
            </w:r>
            <w:r>
              <w:rPr>
                <w:bCs/>
              </w:rPr>
              <w:t xml:space="preserve"> </w:t>
            </w:r>
            <w:r>
              <w:rPr>
                <w:bCs/>
              </w:rPr>
              <w:t xml:space="preserve">Калиновская, д. 38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52"/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Ответственн</w:t>
            </w:r>
            <w:r>
              <w:rPr>
                <w:bCs/>
              </w:rPr>
              <w:t xml:space="preserve">ые</w:t>
            </w:r>
            <w:r>
              <w:rPr>
                <w:bCs/>
              </w:rPr>
              <w:t xml:space="preserve"> лиц</w:t>
            </w:r>
            <w:r>
              <w:rPr>
                <w:bCs/>
              </w:rPr>
              <w:t xml:space="preserve">а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Продавца по</w:t>
            </w:r>
            <w:r>
              <w:rPr>
                <w:bCs/>
              </w:rPr>
              <w:t xml:space="preserve"> вопросам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проведения </w:t>
            </w:r>
            <w:r>
              <w:rPr>
                <w:bCs/>
              </w:rPr>
              <w:t xml:space="preserve">продажи имущества: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52"/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Бушманова Наталья Александровна </w:t>
            </w:r>
            <w:r>
              <w:rPr>
                <w:bCs/>
              </w:rPr>
              <w:t xml:space="preserve">тел</w:t>
            </w:r>
            <w:r>
              <w:rPr>
                <w:bCs/>
              </w:rPr>
              <w:t xml:space="preserve">. </w:t>
            </w:r>
            <w:r>
              <w:rPr>
                <w:bCs/>
              </w:rPr>
              <w:t xml:space="preserve">8</w:t>
            </w:r>
            <w:r>
              <w:rPr>
                <w:bCs/>
              </w:rPr>
              <w:t xml:space="preserve"> (4942) 45-20-</w:t>
            </w:r>
            <w:r>
              <w:rPr>
                <w:bCs/>
              </w:rPr>
              <w:t xml:space="preserve">12, </w:t>
            </w:r>
            <w:r>
              <w:rPr>
                <w:bCs/>
              </w:rPr>
              <w:t xml:space="preserve">  </w:t>
            </w:r>
            <w:r>
              <w:rPr>
                <w:bCs/>
              </w:rPr>
              <w:t xml:space="preserve">                    </w:t>
            </w:r>
            <w:r>
              <w:rPr>
                <w:bCs/>
              </w:rPr>
              <w:t xml:space="preserve">          </w:t>
            </w:r>
            <w:r>
              <w:rPr>
                <w:bCs/>
              </w:rPr>
              <w:t xml:space="preserve">8 (4942) 45-70-94, </w:t>
            </w:r>
            <w:r>
              <w:rPr>
                <w:bCs/>
                <w:lang w:val="en-US"/>
              </w:rPr>
              <w:t xml:space="preserve">e</w:t>
            </w:r>
            <w:r>
              <w:rPr>
                <w:bCs/>
              </w:rPr>
              <w:t xml:space="preserve">-</w:t>
            </w:r>
            <w:r>
              <w:rPr>
                <w:bCs/>
                <w:lang w:val="en-US"/>
              </w:rPr>
              <w:t xml:space="preserve">mail</w:t>
            </w:r>
            <w:r>
              <w:rPr>
                <w:bCs/>
              </w:rPr>
              <w:t xml:space="preserve">: </w:t>
            </w:r>
            <w:r>
              <w:rPr>
                <w:bCs/>
                <w:lang w:val="en-US"/>
              </w:rPr>
              <w:t xml:space="preserve">dizo@kostroma.gov.ru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1832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2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Оператор </w:t>
            </w:r>
            <w:r>
              <w:rPr>
                <w:b/>
                <w:iCs/>
              </w:rPr>
              <w:t xml:space="preserve">продажи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Электронная площадка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«</w:t>
            </w:r>
            <w:r>
              <w:rPr>
                <w:bCs/>
              </w:rPr>
              <w:t xml:space="preserve">РТС-тендер</w:t>
            </w:r>
            <w:r>
              <w:rPr>
                <w:bCs/>
              </w:rPr>
              <w:t xml:space="preserve">» (Имущественные торги) (далее – электронная площадка, Оператор)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Место нахождения</w:t>
            </w:r>
            <w:r>
              <w:rPr>
                <w:bCs/>
              </w:rPr>
              <w:t xml:space="preserve"> ООО «РТС-тендер»</w:t>
            </w:r>
            <w:r>
              <w:rPr>
                <w:bCs/>
              </w:rPr>
              <w:t xml:space="preserve">: </w:t>
            </w:r>
            <w:r>
              <w:rPr>
                <w:bCs/>
              </w:rPr>
              <w:t xml:space="preserve">121151, г. Москва, набережная Тараса Шевченко, 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д. 23-А</w:t>
            </w:r>
            <w:r>
              <w:rPr>
                <w:bCs/>
              </w:rPr>
              <w:t xml:space="preserve">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</w:rPr>
              <w:t xml:space="preserve">Сайт</w:t>
            </w:r>
            <w:r>
              <w:rPr>
                <w:bCs/>
                <w:color w:val="000000" w:themeColor="text1"/>
              </w:rPr>
              <w:t xml:space="preserve">: </w:t>
            </w:r>
            <w:hyperlink r:id="rId11" w:tooltip="http://www.rts-tender.ru" w:history="1">
              <w:r>
                <w:rPr>
                  <w:rStyle w:val="894"/>
                  <w:bCs/>
                  <w:color w:val="000000" w:themeColor="text1"/>
                </w:rPr>
                <w:t xml:space="preserve">www.rts-tender.ru</w:t>
              </w:r>
            </w:hyperlink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 xml:space="preserve">.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Адрес электронной почты: iSupport@rts-tender.ru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spacing w:before="0" w:beforeAutospacing="0" w:after="0" w:afterAutospacing="0"/>
              <w:rPr>
                <w:iCs/>
              </w:rPr>
            </w:pPr>
            <w:r>
              <w:rPr>
                <w:bCs/>
              </w:rPr>
              <w:t xml:space="preserve">тел.: +7 (499) 653-55-00, +7 </w:t>
            </w:r>
            <w:r>
              <w:rPr>
                <w:bCs/>
              </w:rPr>
              <w:t xml:space="preserve">(</w:t>
            </w:r>
            <w:r>
              <w:rPr>
                <w:bCs/>
              </w:rPr>
              <w:t xml:space="preserve">800)-77-55-</w:t>
            </w:r>
            <w:r>
              <w:rPr>
                <w:bCs/>
              </w:rPr>
              <w:t xml:space="preserve">800</w:t>
            </w:r>
            <w:r>
              <w:rPr>
                <w:bCs/>
              </w:rPr>
              <w:t xml:space="preserve">, </w:t>
            </w:r>
            <w:r>
              <w:rPr>
                <w:bCs/>
              </w:rPr>
              <w:t xml:space="preserve">  </w:t>
            </w:r>
            <w:r>
              <w:rPr>
                <w:bCs/>
              </w:rPr>
              <w:t xml:space="preserve">                                    </w:t>
            </w:r>
            <w:r>
              <w:rPr>
                <w:bCs/>
              </w:rPr>
              <w:t xml:space="preserve">          </w:t>
            </w:r>
            <w:r>
              <w:rPr>
                <w:bCs/>
              </w:rPr>
              <w:t xml:space="preserve">факс: +7 (495) 733-95-19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165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3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Р</w:t>
            </w:r>
            <w:r>
              <w:rPr>
                <w:b/>
                <w:iCs/>
              </w:rPr>
              <w:t xml:space="preserve">ешение </w:t>
            </w:r>
            <w:r>
              <w:rPr>
                <w:b/>
                <w:iCs/>
              </w:rPr>
              <w:t xml:space="preserve">собственника о проведение продажи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highlight w:val="white"/>
              </w:rPr>
            </w:pPr>
            <w:r>
              <w:rPr>
                <w:bCs/>
              </w:rPr>
              <w:t xml:space="preserve">П</w:t>
            </w:r>
            <w:r>
              <w:rPr>
                <w:bCs/>
              </w:rPr>
              <w:t xml:space="preserve">остановлени</w:t>
            </w:r>
            <w:r>
              <w:rPr>
                <w:bCs/>
              </w:rPr>
              <w:t xml:space="preserve">е</w:t>
            </w:r>
            <w:r>
              <w:rPr>
                <w:bCs/>
              </w:rPr>
              <w:t xml:space="preserve"> Костромской областной Думы </w:t>
            </w:r>
            <w:r>
              <w:rPr>
                <w:bCs/>
              </w:rPr>
              <w:t xml:space="preserve">от 24 ноября </w:t>
            </w:r>
            <w:r>
              <w:rPr>
                <w:bCs/>
              </w:rPr>
              <w:t xml:space="preserve">                  </w:t>
            </w:r>
            <w:r>
              <w:rPr>
                <w:bCs/>
              </w:rPr>
              <w:t xml:space="preserve">2022 года № 579 «О программе приватизации государственного имущества Костромской области на 2023-2025 годы»</w:t>
            </w:r>
            <w:r>
              <w:rPr>
                <w:bCs/>
              </w:rPr>
              <w:t xml:space="preserve">, распоряжени</w:t>
            </w:r>
            <w:r>
              <w:rPr>
                <w:bCs/>
              </w:rPr>
              <w:t xml:space="preserve">я департамента имущественных и земельных отношений Костромской области «Об условиях приватизации находящегося в государственной собственности Костромской области имущества»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о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т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 15 декабря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2025 года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 № 1121,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№ 1122,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№ 1123,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№ 1124,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№ 1125,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№ 1126,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№ 1127,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№ 1128 </w:t>
            </w:r>
            <w:r>
              <w:rPr>
                <w:bCs/>
                <w:highlight w:val="white"/>
              </w:rPr>
              <w:t xml:space="preserve">(</w:t>
            </w:r>
            <w:r>
              <w:rPr>
                <w:bCs/>
                <w:highlight w:val="white"/>
              </w:rPr>
              <w:t xml:space="preserve">П</w:t>
            </w:r>
            <w:r>
              <w:rPr>
                <w:bCs/>
                <w:highlight w:val="white"/>
              </w:rPr>
              <w:t xml:space="preserve">р</w:t>
            </w:r>
            <w:r>
              <w:rPr>
                <w:bCs/>
                <w:highlight w:val="white"/>
              </w:rPr>
              <w:t xml:space="preserve">и</w:t>
            </w:r>
            <w:r>
              <w:rPr>
                <w:bCs/>
                <w:highlight w:val="white"/>
              </w:rPr>
              <w:t xml:space="preserve">ложение № 1).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266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4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Предмет продажи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(объекты продажи)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pStyle w:val="952"/>
              <w:jc w:val="both"/>
              <w:spacing w:before="0" w:beforeAutospacing="0" w:after="0" w:afterAutospacing="0"/>
              <w:rPr>
                <w:bCs/>
                <w:iCs/>
              </w:rPr>
            </w:pPr>
            <w:r>
              <w:rPr>
                <w:bCs/>
                <w:iCs/>
              </w:rPr>
              <w:t xml:space="preserve">8 лотов</w:t>
            </w:r>
            <w:r>
              <w:rPr>
                <w:bCs/>
                <w:iCs/>
              </w:rPr>
              <w:t xml:space="preserve"> (см. Таблицу «Информация об условиях приватизации государственного имущества Костромской области, предлагаемого к продаже </w:t>
            </w:r>
            <w:r>
              <w:rPr>
                <w:bCs/>
                <w:iCs/>
              </w:rPr>
              <w:t xml:space="preserve">на аукционе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30 января 2026 года</w:t>
            </w:r>
            <w:r>
              <w:rPr>
                <w:bCs/>
                <w:iCs/>
              </w:rPr>
              <w:t xml:space="preserve">», далее – Таблица).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952"/>
              <w:jc w:val="both"/>
              <w:spacing w:before="0" w:beforeAutospacing="0" w:after="0" w:afterAutospacing="0"/>
              <w:rPr>
                <w:iCs/>
                <w:highlight w:val="none"/>
              </w:rPr>
            </w:pPr>
            <w:r>
              <w:rPr>
                <w:iCs/>
              </w:rPr>
              <w:t xml:space="preserve">Фотографии лотов размещены в Приложении № 2 к настоящему информационному сообщению.</w:t>
            </w:r>
            <w:r>
              <w:rPr>
                <w:iCs/>
                <w:highlight w:val="none"/>
              </w:rPr>
            </w:r>
            <w:r>
              <w:rPr>
                <w:iCs/>
                <w:highlight w:val="none"/>
              </w:rPr>
            </w:r>
          </w:p>
        </w:tc>
      </w:tr>
      <w:tr>
        <w:tblPrEx/>
        <w:trPr>
          <w:trHeight w:val="549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5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С</w:t>
            </w:r>
            <w:r>
              <w:rPr>
                <w:b/>
                <w:iCs/>
              </w:rPr>
              <w:t xml:space="preserve">пособ </w:t>
            </w:r>
            <w:r>
              <w:rPr>
                <w:b/>
                <w:iCs/>
              </w:rPr>
              <w:t xml:space="preserve">п</w:t>
            </w:r>
            <w:r>
              <w:rPr>
                <w:b/>
                <w:iCs/>
              </w:rPr>
              <w:t xml:space="preserve">риватизации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Продажа на аукционе.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562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6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Начальная цена продажи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см. Таблицу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992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7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Форма подачи предложений о цене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Открытая форма подачи предложений.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4525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8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bCs/>
                <w:iCs/>
              </w:rPr>
            </w:pPr>
            <w:r>
              <w:rPr>
                <w:rFonts w:eastAsia="Calibri"/>
                <w:b/>
                <w:bCs/>
              </w:rPr>
              <w:t xml:space="preserve">Условия и сроки платежа, необходимые реквизиты счетов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pStyle w:val="923"/>
              <w:ind w:firstLine="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приобретаемого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аукционе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производится победителем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(покупателем)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лицом, признанным единственным участником аукциона,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10 рабочих дней с даты заключения договора купли-продажи государственного имущества. Задаток, перечисленный победителем (покупателем)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лицом, признанным единственным участником аукциона,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участия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продаже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засчитывается в счёт оплаты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2"/>
              <w:jc w:val="both"/>
              <w:spacing w:before="0" w:beforeAutospacing="0" w:after="0" w:afterAutospacing="0"/>
              <w:rPr>
                <w:iCs/>
              </w:rPr>
            </w:pPr>
            <w:r>
              <w:t xml:space="preserve">Денежные средства должны быть внесены единовременно в безналичном порядке на счет Продавца: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8"/>
              </w:rPr>
              <w:t xml:space="preserve">получатель -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епартамент финансов Костромской области (департамент имущественных и земельных отношений Костромской области л/с 833010018)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ИНН 4401011825 КПП 440101001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Банк: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bidi="ar-SA"/>
              </w:rPr>
              <w:t xml:space="preserve">ОКЦ №1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bidi="ar-SA"/>
              </w:rPr>
              <w:t xml:space="preserve">ВОЛГО-ВЯТСК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bidi="ar-SA"/>
              </w:rPr>
              <w:t xml:space="preserve">ОГО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bidi="ar-SA"/>
              </w:rPr>
              <w:t xml:space="preserve"> ГУ БАНКА РОССИИ//УФК по Костромской области, г. Кострома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Номер казначейского счета: 03222643340000004100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БИК ТОФК: 042202103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Единый казначейский счет (ЕКС): 40102810145370000103</w:t>
            </w:r>
            <w:r>
              <w:rPr>
                <w:sz w:val="24"/>
                <w:szCs w:val="24"/>
              </w:rPr>
            </w:r>
            <w:r/>
          </w:p>
        </w:tc>
      </w:tr>
      <w:tr>
        <w:tblPrEx/>
        <w:trPr>
          <w:trHeight w:val="566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9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eastAsia="Calibri"/>
                <w:b/>
                <w:bCs/>
                <w:i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Размер задатка, срок и порядок его внесения, необходимые реквизиты счетов</w:t>
            </w:r>
            <w:r>
              <w:rPr>
                <w:rFonts w:eastAsia="Calibri"/>
                <w:b/>
                <w:bCs/>
                <w:iCs/>
                <w:color w:val="000000"/>
                <w:lang w:eastAsia="en-US"/>
              </w:rPr>
            </w:r>
            <w:r>
              <w:rPr>
                <w:rFonts w:eastAsia="Calibri"/>
                <w:b/>
                <w:bCs/>
                <w:iCs/>
                <w:color w:val="000000"/>
                <w:lang w:eastAsia="en-US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1) Для участия в продаже имущества Претенденты вносят задатки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в размере 10 % начальной цены, указанной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Таблице.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2) Претендент обеспечивает поступление задатка в срок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до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6 час. 00 мин. по московскому времени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26.01.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(включительно).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3) Порядок внесения задатка определяется регламентом работы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Оператора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в соответствии с соглашением о гарантийном обеспечении на электронной площадке «РТС-тендер» имущественные торги (далее – соглашение) (Приложение № 3).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Реквизиты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Оператора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для перечисления задатка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Получатель ООО «РТС-тендер»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Наименование банка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Филиал «Корпоративный» ПАО «Совкомбанк»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Расчетный счет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0702810512030016362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Корр. счет 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30101810445250000360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           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БИК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044525360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ИНН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7710357167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КПП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773001001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Cs/>
                <w:i/>
                <w:color w:val="000000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Назначение платежа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en-US"/>
              </w:rPr>
              <w:t xml:space="preserve">внесение гарантийного обеспечения по Соглашению о внесении гарантийного обеспечения,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en-US"/>
              </w:rPr>
              <w:t xml:space="preserve">                                   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en-US"/>
              </w:rPr>
              <w:t xml:space="preserve">№ аналитического счета _________, без НДС.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highlight w:val="none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Cs w:val="0"/>
                <w:i w:val="0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highlight w:val="none"/>
                <w:lang w:eastAsia="en-US"/>
              </w:rPr>
              <w:t xml:space="preserve">Документом, подтверждающим поступление задатка на счет, указанный в информационном сообщении, является выписка с этого счета.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color w:val="000000"/>
                <w:lang w:eastAsia="en-US"/>
              </w:rPr>
            </w:pPr>
            <w:r>
              <w:rPr>
                <w:rFonts w:ascii="TimesNewRomanPSMT" w:hAnsi="TimesNewRomanPSMT" w:eastAsia="Calibri" w:cs="TimesNewRomanPSMT"/>
                <w:color w:val="000000"/>
                <w:lang w:eastAsia="en-US"/>
              </w:rPr>
              <w:t xml:space="preserve">4</w:t>
            </w:r>
            <w:r>
              <w:rPr>
                <w:rFonts w:eastAsia="Calibri"/>
                <w:color w:val="000000"/>
                <w:lang w:eastAsia="en-US"/>
              </w:rPr>
              <w:t xml:space="preserve">) Порядок возвращения задатка</w:t>
            </w:r>
            <w:r>
              <w:rPr>
                <w:rFonts w:eastAsia="Calibri"/>
                <w:color w:val="000000"/>
                <w:lang w:eastAsia="en-US"/>
              </w:rPr>
              <w:t xml:space="preserve">: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  <w:p>
            <w:pPr>
              <w:pStyle w:val="923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если Претендент отзывает свою заявку до даты окончания приема заявок,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 позднее, чем 5 (пять) дней со дня поступления уведомления об отзыве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23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отзывает свою заявку позднее даты окончания приема заявок,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23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не признан участником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23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не признан Победителем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 продажи имущества либо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none"/>
                <w:lang w:eastAsia="en-US"/>
              </w:rPr>
              <w:t xml:space="preserve">лицом, признанным единственным участником аукциона,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перечисляет сумму задатка на счет, указанный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23"/>
              <w:ind w:firstLine="54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признания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несостоявш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 Оператор возвращает задаток Претенденту путем перечисления суммы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счет,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23"/>
              <w:ind w:firstLine="54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отмены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Оператор в течение 5 (пяти) дней с даты опубликования об этом информационного сообщения возвращает задаток Претенденту путем перечисления суммы задатка на счет, указанный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соглашении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23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не возвращается: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457"/>
              <w:jc w:val="both"/>
              <w:spacing w:before="0" w:beforeAutospacing="0" w:after="0" w:afterAutospacing="0"/>
            </w:pPr>
            <w:r>
              <w:t xml:space="preserve">- п</w:t>
            </w:r>
            <w:r>
              <w:t xml:space="preserve">ри уклонении или отказе победителя аукциона </w:t>
            </w:r>
            <w:r>
              <w:t xml:space="preserve">либо лица, признанного единственным участником аукциона,</w:t>
            </w:r>
            <w:r>
              <w:t xml:space="preserve"> </w:t>
            </w:r>
            <w:r>
              <w:t xml:space="preserve"> от заключения в установленный срок договора купли-продажи имущества</w:t>
            </w:r>
            <w:r>
              <w:t xml:space="preserve">. Победитель</w:t>
            </w:r>
            <w:r>
              <w:t xml:space="preserve"> </w:t>
            </w:r>
            <w:r>
              <w:t xml:space="preserve">либо лицо, признанное единственным участником аукциона, </w:t>
            </w:r>
            <w:r>
              <w:t xml:space="preserve">утрачивает право на заключение указанного договора</w:t>
            </w:r>
            <w:r>
              <w:t xml:space="preserve">;</w:t>
            </w:r>
            <w:r/>
          </w:p>
          <w:p>
            <w:pPr>
              <w:pStyle w:val="923"/>
              <w:ind w:firstLine="54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неисполнения Претендентом, признанным Победителем аукциона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лицом, признанным единственным участником аукциона,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заключившим с Продавцом договор купли-продажи, обязанности по оплате приобретаемого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в соответствии с указанным договором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457"/>
              <w:jc w:val="both"/>
              <w:spacing w:before="0" w:beforeAutospacing="0" w:after="0" w:afterAutospacing="0"/>
            </w:pPr>
            <w:r>
              <w:t xml:space="preserve">З</w:t>
            </w:r>
            <w:r>
              <w:t xml:space="preserve">адаток, внесенный Претендентом, признанным Победителем аукциона </w:t>
            </w:r>
            <w:r>
              <w:t xml:space="preserve">либо лицом, признанным единственным участником аукциона,</w:t>
            </w:r>
            <w:r>
              <w:t xml:space="preserve"> и заключившим с Продавцом договор купли-продажи приобретаемого государственного имущества, засчитывается Продавцом в счет оплаты приобретаемого имущества.</w:t>
            </w:r>
            <w:r/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5) Условия договора о задатке, указанные в пп. 1-4 настоящего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раздела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,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являются условиями публичной оферты в соответствии со </w:t>
            </w:r>
            <w:hyperlink r:id="rId12" w:tooltip="consultantplus://offline/ref=04C69D67FA7F00F8B2D92E624E108DE4AEA01442D49672C188D2DD2BF89EA41C613D87F19E3D74ED824B5019CC5567396D673E8E60DD755Fj7Z6L" w:history="1">
              <w:r>
                <w:rPr>
                  <w:rFonts w:eastAsia="Calibri"/>
                  <w:color w:val="000000" w:themeColor="text1"/>
                  <w:lang w:eastAsia="en-US"/>
                </w:rPr>
                <w:t xml:space="preserve">статьей 437</w:t>
              </w:r>
            </w:hyperlink>
            <w:r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Гражданского кодекса Российской Федерации.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Подача претендентом заявки и перечисление задатка на счет </w:t>
            </w:r>
            <w:r>
              <w:rPr>
                <w:rFonts w:eastAsia="Calibri"/>
                <w:lang w:eastAsia="en-US"/>
              </w:rPr>
              <w:t xml:space="preserve">-</w:t>
            </w:r>
            <w:r>
              <w:rPr>
                <w:rFonts w:eastAsia="Calibri"/>
                <w:lang w:eastAsia="en-US"/>
              </w:rPr>
              <w:t xml:space="preserve">являются акцептом такой оферты, и договор о задатке считается заключенным в установленном порядке.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)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считаться ошибочно перечисленными денежными средствами и возвращены на счет плательщика.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3401"/>
        </w:trPr>
        <w:tc>
          <w:tcPr>
            <w:shd w:val="clear" w:color="f2f2f2" w:fill="f2f2f2"/>
            <w:tcBorders>
              <w:top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10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top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eastAsia="Calibri"/>
                <w:b/>
                <w:iCs/>
                <w:color w:val="000000"/>
                <w:lang w:eastAsia="en-US"/>
              </w:rPr>
            </w:pP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Место, сроки подачи (приема) Заявок, определения Участников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, 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 проведения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 </w:t>
            </w:r>
            <w:r>
              <w:rPr>
                <w:b/>
                <w:iCs/>
              </w:rPr>
              <w:t xml:space="preserve">и подведения итогов продажи имущества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1) </w:t>
            </w:r>
            <w:r>
              <w:rPr>
                <w:rFonts w:eastAsia="Calibri"/>
              </w:rPr>
              <w:t xml:space="preserve">Место подачи (приема) Заявок: </w:t>
            </w:r>
            <w:bookmarkStart w:id="1" w:name="_Hlk10095844"/>
            <w:r>
              <w:rPr>
                <w:rFonts w:eastAsia="Calibri"/>
              </w:rPr>
              <w:t xml:space="preserve">электронная площадка </w:t>
            </w:r>
            <w:r>
              <w:rPr>
                <w:rFonts w:eastAsia="Calibri"/>
              </w:rPr>
              <w:t xml:space="preserve">                                      </w:t>
            </w:r>
            <w:hyperlink r:id="rId13" w:tooltip="http://www.rts-tender.ru" w:history="1">
              <w:r>
                <w:rPr>
                  <w:rStyle w:val="894"/>
                  <w:rFonts w:eastAsia="Calibri"/>
                  <w:color w:val="000000" w:themeColor="text1"/>
                </w:rPr>
                <w:t xml:space="preserve">www.rts-tender.ru</w:t>
              </w:r>
            </w:hyperlink>
            <w:r>
              <w:rPr>
                <w:rFonts w:eastAsia="Calibri"/>
                <w:color w:val="000000" w:themeColor="text1"/>
              </w:rPr>
              <w:t xml:space="preserve"> (Оператор)</w:t>
            </w:r>
            <w:r>
              <w:rPr>
                <w:rFonts w:eastAsia="Calibri"/>
                <w:color w:val="000000" w:themeColor="text1"/>
              </w:rPr>
              <w:t xml:space="preserve">.</w:t>
            </w:r>
            <w:bookmarkEnd w:id="1"/>
            <w:r>
              <w:rPr>
                <w:rFonts w:eastAsia="Calibri"/>
                <w:color w:val="000000"/>
              </w:rPr>
            </w:r>
            <w:r>
              <w:rPr>
                <w:rFonts w:eastAsia="Calibri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 xml:space="preserve">2) </w:t>
            </w:r>
            <w:r>
              <w:rPr>
                <w:rFonts w:eastAsia="Calibri"/>
              </w:rPr>
              <w:t xml:space="preserve">Дата и время начала подачи (приема) Заявок: 23.12</w:t>
            </w:r>
            <w:r>
              <w:rPr>
                <w:rFonts w:eastAsia="Calibri"/>
              </w:rPr>
              <w:t xml:space="preserve">.20</w:t>
            </w:r>
            <w:r>
              <w:rPr>
                <w:rFonts w:eastAsia="Calibri"/>
              </w:rPr>
              <w:t xml:space="preserve">25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в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                       </w:t>
            </w:r>
            <w:r>
              <w:rPr>
                <w:rFonts w:eastAsia="Calibri"/>
              </w:rPr>
              <w:t xml:space="preserve">9</w:t>
            </w:r>
            <w:r>
              <w:rPr>
                <w:rFonts w:eastAsia="Calibri"/>
              </w:rPr>
              <w:t xml:space="preserve"> час. </w:t>
            </w:r>
            <w:r>
              <w:rPr>
                <w:rFonts w:eastAsia="Calibri"/>
              </w:rPr>
              <w:t xml:space="preserve">00</w:t>
            </w:r>
            <w:r>
              <w:rPr>
                <w:rFonts w:eastAsia="Calibri"/>
              </w:rPr>
              <w:t xml:space="preserve"> мин. по московскому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времени.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 xml:space="preserve">Подача Заявок осуществляется круглосуточно.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  <w:t xml:space="preserve">)</w:t>
            </w:r>
            <w:r>
              <w:rPr>
                <w:rFonts w:eastAsia="Calibri"/>
              </w:rPr>
              <w:t xml:space="preserve"> Дата и время окончания подачи (приема) Заявок: 26</w:t>
            </w:r>
            <w:r>
              <w:rPr>
                <w:rFonts w:eastAsia="Calibri"/>
              </w:rPr>
              <w:t xml:space="preserve">.01.2026</w:t>
            </w:r>
            <w:r>
              <w:rPr>
                <w:rFonts w:eastAsia="Calibri"/>
              </w:rPr>
              <w:t xml:space="preserve"> в</w:t>
            </w:r>
            <w:r>
              <w:rPr>
                <w:rFonts w:eastAsia="Calibri"/>
              </w:rPr>
              <w:t xml:space="preserve"> 1</w:t>
            </w:r>
            <w:r>
              <w:rPr>
                <w:rFonts w:eastAsia="Calibri"/>
              </w:rPr>
              <w:t xml:space="preserve">6 </w:t>
            </w:r>
            <w:r>
              <w:rPr>
                <w:rFonts w:eastAsia="Calibri"/>
              </w:rPr>
              <w:t xml:space="preserve">час. </w:t>
            </w:r>
            <w:r>
              <w:rPr>
                <w:rFonts w:eastAsia="Calibri"/>
              </w:rPr>
              <w:t xml:space="preserve">00 мин. п</w:t>
            </w:r>
            <w:r>
              <w:rPr>
                <w:rFonts w:eastAsia="Calibri"/>
              </w:rPr>
              <w:t xml:space="preserve">о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московскому времени</w:t>
            </w:r>
            <w:r>
              <w:rPr>
                <w:rFonts w:eastAsia="Calibri"/>
              </w:rPr>
              <w:t xml:space="preserve"> (включительно).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 xml:space="preserve">4) </w:t>
            </w:r>
            <w:r>
              <w:rPr>
                <w:rFonts w:eastAsia="Calibri"/>
              </w:rPr>
              <w:t xml:space="preserve">Дата определения </w:t>
            </w:r>
            <w:r>
              <w:rPr>
                <w:rFonts w:eastAsia="Calibri"/>
              </w:rPr>
              <w:t xml:space="preserve">у</w:t>
            </w:r>
            <w:r>
              <w:rPr>
                <w:rFonts w:eastAsia="Calibri"/>
              </w:rPr>
              <w:t xml:space="preserve">частников: 28</w:t>
            </w:r>
            <w:r>
              <w:rPr>
                <w:rFonts w:eastAsia="Calibri"/>
              </w:rPr>
              <w:t xml:space="preserve">.01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  <w:t xml:space="preserve">20</w:t>
            </w:r>
            <w:r>
              <w:rPr>
                <w:rFonts w:eastAsia="Calibri"/>
              </w:rPr>
              <w:t xml:space="preserve">26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в 1</w:t>
            </w:r>
            <w:r>
              <w:rPr>
                <w:rFonts w:eastAsia="Calibri"/>
              </w:rPr>
              <w:t xml:space="preserve">5 час. 00 мин. по московскому времени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 xml:space="preserve">5)</w:t>
            </w:r>
            <w:r>
              <w:rPr>
                <w:rFonts w:eastAsia="Calibri"/>
              </w:rPr>
              <w:t xml:space="preserve"> Дата и время проведения </w:t>
            </w:r>
            <w:r>
              <w:rPr>
                <w:rFonts w:eastAsia="Calibri"/>
              </w:rPr>
              <w:t xml:space="preserve">продажи имущества</w:t>
            </w:r>
            <w:r>
              <w:rPr>
                <w:rFonts w:eastAsia="Calibri"/>
              </w:rPr>
              <w:t xml:space="preserve">: 30.01.2026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                           </w:t>
            </w:r>
            <w:r>
              <w:rPr>
                <w:rFonts w:eastAsia="Calibri"/>
              </w:rPr>
              <w:t xml:space="preserve">в </w:t>
            </w:r>
            <w:r>
              <w:rPr>
                <w:rFonts w:eastAsia="Calibri"/>
              </w:rPr>
              <w:t xml:space="preserve">11</w:t>
            </w:r>
            <w:r>
              <w:rPr>
                <w:rFonts w:eastAsia="Calibri"/>
              </w:rPr>
              <w:t xml:space="preserve"> час. </w:t>
            </w:r>
            <w:r>
              <w:rPr>
                <w:rFonts w:eastAsia="Calibri"/>
              </w:rPr>
              <w:t xml:space="preserve">00</w:t>
            </w:r>
            <w:r>
              <w:rPr>
                <w:rFonts w:eastAsia="Calibri"/>
              </w:rPr>
              <w:t xml:space="preserve"> мин. по</w:t>
            </w:r>
            <w:r>
              <w:rPr>
                <w:rFonts w:eastAsia="Calibri"/>
              </w:rPr>
              <w:t xml:space="preserve"> </w:t>
            </w:r>
            <w:r>
              <w:rPr>
                <w:rFonts w:eastAsia="Calibri"/>
              </w:rPr>
              <w:t xml:space="preserve">московскому времени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before="0" w:beforeAutospacing="0" w:after="0" w:afterAutospacing="0"/>
              <w:rPr>
                <w:iCs/>
              </w:rPr>
            </w:pPr>
            <w:r>
              <w:rPr>
                <w:rFonts w:eastAsia="Calibri"/>
              </w:rPr>
              <w:t xml:space="preserve">6) Срок подведения итогов продажи имущества</w:t>
            </w:r>
            <w:r>
              <w:rPr>
                <w:rFonts w:eastAsia="Calibri"/>
              </w:rPr>
              <w:t xml:space="preserve">:</w:t>
            </w:r>
            <w:r>
              <w:rPr>
                <w:rFonts w:eastAsia="Calibri"/>
              </w:rPr>
              <w:t xml:space="preserve"> 30.01.2026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                   с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11</w:t>
            </w:r>
            <w:r>
              <w:rPr>
                <w:rFonts w:eastAsia="Calibri"/>
              </w:rPr>
              <w:t xml:space="preserve"> час. </w:t>
            </w:r>
            <w:r>
              <w:rPr>
                <w:rFonts w:eastAsia="Calibri"/>
              </w:rPr>
              <w:t xml:space="preserve">00 мин. по </w:t>
            </w:r>
            <w:r>
              <w:rPr>
                <w:rFonts w:eastAsia="Calibri"/>
              </w:rPr>
              <w:t xml:space="preserve">московскому времени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938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11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bCs/>
              </w:rPr>
              <w:t xml:space="preserve">Порядок о</w:t>
            </w:r>
            <w:r>
              <w:rPr>
                <w:b/>
                <w:bCs/>
              </w:rPr>
              <w:t xml:space="preserve">тказ</w:t>
            </w:r>
            <w:r>
              <w:rPr>
                <w:b/>
                <w:bCs/>
              </w:rPr>
              <w:t xml:space="preserve">а </w:t>
            </w:r>
            <w:r>
              <w:rPr>
                <w:b/>
                <w:bCs/>
              </w:rPr>
              <w:t xml:space="preserve">от </w:t>
            </w:r>
            <w:r>
              <w:rPr>
                <w:b/>
                <w:bCs/>
              </w:rPr>
              <w:t xml:space="preserve">проведения </w:t>
            </w:r>
            <w:r>
              <w:rPr>
                <w:b/>
                <w:iCs/>
              </w:rPr>
              <w:t xml:space="preserve">продажи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i/>
                <w:iCs/>
                <w:color w:val="0070c0"/>
              </w:rPr>
            </w:pPr>
            <w:r>
              <w:t xml:space="preserve">Продавец вправе отказаться от проведения </w:t>
            </w:r>
            <w:r>
              <w:t xml:space="preserve">продажи имущества</w:t>
            </w:r>
            <w:r>
              <w:t xml:space="preserve"> в любое время, </w:t>
            </w:r>
            <w:r>
              <w:rPr>
                <w:rFonts w:eastAsia="Calibri"/>
              </w:rPr>
              <w:t xml:space="preserve">но не позднее чем за три</w:t>
            </w:r>
            <w:r>
              <w:rPr>
                <w:rFonts w:eastAsia="Calibri"/>
              </w:rPr>
              <w:t xml:space="preserve"> д</w:t>
            </w:r>
            <w:r>
              <w:rPr>
                <w:rFonts w:eastAsia="Calibri"/>
              </w:rPr>
              <w:t xml:space="preserve">ня</w:t>
            </w:r>
            <w:r>
              <w:rPr>
                <w:rFonts w:eastAsia="Calibri"/>
              </w:rPr>
              <w:t xml:space="preserve"> до наступления даты его проведения.</w:t>
            </w:r>
            <w:r>
              <w:rPr>
                <w:i/>
                <w:iCs/>
                <w:color w:val="0070c0"/>
              </w:rPr>
            </w:r>
            <w:r>
              <w:rPr>
                <w:i/>
                <w:iCs/>
                <w:color w:val="0070c0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12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rFonts w:eastAsia="Calibri"/>
                <w:b/>
                <w:bCs/>
              </w:rPr>
              <w:t xml:space="preserve">Порядок подачи (приема) и отзыва Заявок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1) </w:t>
            </w:r>
            <w:r>
              <w:rPr>
                <w:rFonts w:eastAsia="Calibri"/>
                <w:lang w:eastAsia="en-US"/>
              </w:rPr>
              <w:t xml:space="preserve">Заявка подается путем заполнения формы</w:t>
            </w:r>
            <w:r>
              <w:rPr>
                <w:rFonts w:eastAsia="Calibri"/>
                <w:lang w:eastAsia="en-US"/>
              </w:rPr>
              <w:t xml:space="preserve"> на электронной </w:t>
            </w:r>
            <w:r>
              <w:rPr>
                <w:rFonts w:eastAsia="Calibri"/>
                <w:lang w:eastAsia="en-US"/>
              </w:rPr>
              <w:t xml:space="preserve">площадке</w:t>
            </w:r>
            <w:r>
              <w:rPr>
                <w:rFonts w:eastAsia="Calibri"/>
                <w:lang w:eastAsia="en-US"/>
              </w:rPr>
              <w:t xml:space="preserve"> (Приложение № 8)</w:t>
            </w:r>
            <w:r>
              <w:rPr>
                <w:rFonts w:eastAsia="Calibri"/>
                <w:lang w:eastAsia="en-US"/>
              </w:rPr>
              <w:t xml:space="preserve">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 в соответствии с </w:t>
            </w:r>
            <w:r>
              <w:rPr>
                <w:rFonts w:eastAsia="Calibri"/>
                <w:lang w:eastAsia="en-US"/>
              </w:rPr>
              <w:t xml:space="preserve">Приложением</w:t>
            </w:r>
            <w:r>
              <w:rPr>
                <w:rFonts w:eastAsia="Calibri"/>
                <w:lang w:eastAsia="en-US"/>
              </w:rPr>
              <w:t xml:space="preserve"> № </w:t>
            </w:r>
            <w:r>
              <w:rPr>
                <w:rFonts w:eastAsia="Calibri"/>
                <w:lang w:eastAsia="en-US"/>
              </w:rPr>
              <w:t xml:space="preserve">4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iCs/>
              </w:rPr>
              <w:t xml:space="preserve">к настоящему информационному сообщению.</w:t>
            </w:r>
            <w:r>
              <w:rPr>
                <w:iCs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К данным документам также прилагается их опись в соответствии с Приложением № </w:t>
            </w:r>
            <w:r>
              <w:rPr>
                <w:rFonts w:eastAsia="Calibri"/>
                <w:lang w:eastAsia="en-US"/>
              </w:rPr>
              <w:t xml:space="preserve">5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iCs/>
              </w:rPr>
              <w:t xml:space="preserve">к настоящему информационному сообщению.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52"/>
              <w:jc w:val="both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  <w:bCs/>
              </w:rPr>
              <w:t xml:space="preserve">2) </w:t>
            </w:r>
            <w:r>
              <w:rPr>
                <w:rFonts w:eastAsia="Calibri"/>
              </w:rPr>
              <w:t xml:space="preserve">Одно лицо имеет право подать только одну Заявку.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3) </w:t>
            </w:r>
            <w:r>
              <w:rPr>
                <w:rFonts w:eastAsia="Calibri"/>
                <w:lang w:eastAsia="en-US"/>
              </w:rPr>
              <w:t xml:space="preserve">Заявки </w:t>
            </w:r>
            <w:r>
              <w:rPr>
                <w:rFonts w:eastAsia="Calibri"/>
                <w:lang w:eastAsia="en-US"/>
              </w:rPr>
              <w:t xml:space="preserve">могут быть </w:t>
            </w:r>
            <w:r>
              <w:rPr>
                <w:rFonts w:eastAsia="Calibri"/>
                <w:lang w:eastAsia="en-US"/>
              </w:rPr>
              <w:t xml:space="preserve">пода</w:t>
            </w:r>
            <w:r>
              <w:rPr>
                <w:rFonts w:eastAsia="Calibri"/>
                <w:lang w:eastAsia="en-US"/>
              </w:rPr>
              <w:t xml:space="preserve">ны </w:t>
            </w:r>
            <w:r>
              <w:rPr>
                <w:rFonts w:eastAsia="Calibri"/>
                <w:lang w:eastAsia="en-US"/>
              </w:rPr>
              <w:t xml:space="preserve">на электронную площадку</w:t>
            </w:r>
            <w:r>
              <w:rPr>
                <w:rFonts w:eastAsia="Calibri"/>
                <w:lang w:eastAsia="en-US"/>
              </w:rPr>
              <w:t xml:space="preserve"> Оператора</w:t>
            </w:r>
            <w:r>
              <w:rPr>
                <w:rFonts w:eastAsia="Calibri"/>
                <w:lang w:eastAsia="en-US"/>
              </w:rPr>
              <w:t xml:space="preserve"> с даты</w:t>
            </w:r>
            <w:r>
              <w:rPr>
                <w:rFonts w:eastAsia="Calibri"/>
                <w:lang w:eastAsia="en-US"/>
              </w:rPr>
              <w:t xml:space="preserve"> и времени</w:t>
            </w:r>
            <w:r>
              <w:rPr>
                <w:rFonts w:eastAsia="Calibri"/>
                <w:lang w:eastAsia="en-US"/>
              </w:rPr>
              <w:t xml:space="preserve"> начала подачи (приема) Заявок</w:t>
            </w:r>
            <w:r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color w:val="000000"/>
                <w:lang w:eastAsia="en-US"/>
              </w:rPr>
              <w:t xml:space="preserve">указанных в п.2 раздела 10 информационного сообщения, </w:t>
            </w:r>
            <w:r>
              <w:rPr>
                <w:rFonts w:eastAsia="Calibri"/>
                <w:lang w:eastAsia="en-US"/>
              </w:rPr>
              <w:t xml:space="preserve">до времени и даты окончания подачи (приема) Заявок, </w:t>
            </w:r>
            <w:r>
              <w:rPr>
                <w:rFonts w:eastAsia="Calibri"/>
                <w:color w:val="000000"/>
                <w:lang w:eastAsia="en-US"/>
              </w:rPr>
              <w:t xml:space="preserve">указанных в п. 3 раздела 10 информационного сообщения</w:t>
            </w:r>
            <w:r>
              <w:rPr>
                <w:rFonts w:eastAsia="Calibri"/>
                <w:color w:val="000000"/>
                <w:lang w:eastAsia="en-US"/>
              </w:rPr>
              <w:t xml:space="preserve">.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4) </w:t>
            </w:r>
            <w:r>
              <w:rPr>
                <w:rFonts w:eastAsia="Calibri"/>
                <w:lang w:eastAsia="en-US"/>
              </w:rPr>
              <w:t xml:space="preserve">Заявки с прилагаемыми к ним документами, поданные с</w:t>
            </w:r>
            <w:r>
              <w:rPr>
                <w:rFonts w:eastAsia="Calibri"/>
                <w:lang w:eastAsia="en-US"/>
              </w:rPr>
              <w:t xml:space="preserve"> </w:t>
            </w:r>
            <w:r>
              <w:rPr>
                <w:rFonts w:eastAsia="Calibri"/>
                <w:lang w:eastAsia="en-US"/>
              </w:rPr>
              <w:t xml:space="preserve">нарушением установленного срока, на электронной площадке</w:t>
            </w:r>
            <w:r>
              <w:rPr>
                <w:rFonts w:eastAsia="Calibri"/>
                <w:lang w:eastAsia="en-US"/>
              </w:rPr>
              <w:t xml:space="preserve"> Оператора</w:t>
            </w:r>
            <w:r>
              <w:rPr>
                <w:rFonts w:eastAsia="Calibri"/>
                <w:lang w:eastAsia="en-US"/>
              </w:rPr>
              <w:t xml:space="preserve"> не</w:t>
            </w:r>
            <w:r>
              <w:rPr>
                <w:rFonts w:eastAsia="Calibri"/>
                <w:lang w:eastAsia="en-US"/>
              </w:rPr>
              <w:t xml:space="preserve"> </w:t>
            </w:r>
            <w:r>
              <w:rPr>
                <w:rFonts w:eastAsia="Calibri"/>
                <w:lang w:eastAsia="en-US"/>
              </w:rPr>
              <w:t xml:space="preserve">регистрируются.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5) </w:t>
            </w:r>
            <w:r>
              <w:rPr>
                <w:rFonts w:eastAsia="Calibri"/>
                <w:bCs/>
                <w:lang w:eastAsia="en-US"/>
              </w:rPr>
      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417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13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Исчерпывающий перечень представляемых документов и требования к их оформлению</w:t>
            </w:r>
            <w:r>
              <w:rPr>
                <w:rFonts w:eastAsia="Calibri"/>
                <w:b/>
                <w:bCs/>
              </w:rPr>
            </w:r>
            <w:r>
              <w:rPr>
                <w:rFonts w:eastAsia="Calibri"/>
                <w:b/>
                <w:b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Информация указана в Приложении № </w:t>
            </w:r>
            <w:r>
              <w:rPr>
                <w:rFonts w:eastAsia="Calibri"/>
                <w:bCs/>
                <w:lang w:eastAsia="en-US"/>
              </w:rPr>
              <w:t xml:space="preserve">4</w:t>
            </w:r>
            <w:r>
              <w:rPr>
                <w:rFonts w:eastAsia="Calibri"/>
                <w:bCs/>
                <w:lang w:eastAsia="en-US"/>
              </w:rPr>
              <w:t xml:space="preserve"> к настоящему информационному сообщению.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14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rFonts w:eastAsia="Calibri"/>
                <w:b/>
                <w:bCs/>
              </w:rPr>
              <w:t xml:space="preserve">Требования и у</w:t>
            </w:r>
            <w:r>
              <w:rPr>
                <w:rFonts w:eastAsia="Calibri"/>
                <w:b/>
                <w:bCs/>
              </w:rPr>
              <w:t xml:space="preserve">словия допуска к участию в </w:t>
            </w:r>
            <w:r>
              <w:rPr>
                <w:b/>
                <w:iCs/>
              </w:rPr>
              <w:t xml:space="preserve">продаже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</w:pPr>
            <w:r>
              <w:t xml:space="preserve">Участник </w:t>
            </w:r>
            <w:r>
              <w:t xml:space="preserve">продажи имущества</w:t>
            </w:r>
            <w:r>
              <w:t xml:space="preserve"> (далее - Участник) – </w:t>
            </w:r>
            <w:r>
              <w:t xml:space="preserve">п</w:t>
            </w:r>
            <w:r>
              <w:t xml:space="preserve">ретендент, признанный Продавцом Участником.</w:t>
            </w:r>
            <w:r/>
          </w:p>
          <w:p>
            <w:pPr>
              <w:pStyle w:val="872"/>
              <w:jc w:val="both"/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К </w:t>
            </w:r>
            <w:bookmarkStart w:id="2" w:name="_Toc467070603"/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участию в 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продаже имущества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 допускаются любые физические и юридические лица, своевременно подавшие заявку, представившие надлежащим образом оформленные документы и обеспечившие поступление в установленном размере задатка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в порядке и сроки, указанные в информационном сообщении о проведении продажи.</w:t>
            </w:r>
            <w:bookmarkEnd w:id="2"/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Претендент не допускается к участию в аукционе по следующим основаниям: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а)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б) предс</w:t>
            </w:r>
            <w:r>
              <w:rPr>
                <w:rFonts w:eastAsia="Calibri"/>
                <w:bCs/>
                <w:lang w:eastAsia="en-US"/>
              </w:rPr>
              <w:t xml:space="preserve">тавлены не все документы в соответствии с перечнем, указанным в информационном сообщении (за исключением предложений о цене государственного имущества на аукционе), или оформление указанных документов не соответствует законодательству Российской Федерации;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в) заявка подана лицом, не уполномоченным претендентом на осуществление таких действий;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г) не подтверждено поступление в установленный срок задатка на счета, указанные в информационном сообщении.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Перечень оснований отказа претенденту в участии в аукционе является исчерпывающим.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15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Срок заключения договора купли-продажи </w:t>
            </w:r>
            <w:r>
              <w:rPr>
                <w:b/>
                <w:iCs/>
              </w:rPr>
              <w:t xml:space="preserve">и ответственность за уклонение или отказ </w:t>
            </w:r>
            <w:r>
              <w:rPr>
                <w:b/>
                <w:iCs/>
              </w:rPr>
              <w:t xml:space="preserve">от заключения договора купли-продажи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pStyle w:val="952"/>
              <w:jc w:val="both"/>
              <w:spacing w:before="0" w:beforeAutospacing="0" w:after="0" w:afterAutospacing="0"/>
              <w:rPr>
                <w:iCs/>
              </w:rPr>
            </w:pPr>
            <w:r/>
            <w:bookmarkStart w:id="3" w:name="_Hlk10097696"/>
            <w:r>
              <w:rPr>
                <w:iCs/>
              </w:rPr>
              <w:t xml:space="preserve">По результатам </w:t>
            </w:r>
            <w:r>
              <w:rPr>
                <w:iCs/>
              </w:rPr>
              <w:t xml:space="preserve">продажи имущества</w:t>
            </w:r>
            <w:r>
              <w:rPr>
                <w:iCs/>
              </w:rPr>
              <w:t xml:space="preserve"> Продавец и </w:t>
            </w:r>
            <w:r>
              <w:rPr>
                <w:iCs/>
              </w:rPr>
              <w:t xml:space="preserve">п</w:t>
            </w:r>
            <w:r>
              <w:rPr>
                <w:iCs/>
              </w:rPr>
              <w:t xml:space="preserve">обедитель аукциона </w:t>
            </w:r>
            <w:r>
              <w:rPr>
                <w:iCs/>
              </w:rPr>
              <w:t xml:space="preserve">либо лицо, признанное единственным участником аукциона,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(покупатель) в течение </w:t>
            </w:r>
            <w:r>
              <w:rPr>
                <w:iCs/>
              </w:rPr>
              <w:t xml:space="preserve">5</w:t>
            </w:r>
            <w:r>
              <w:rPr>
                <w:iCs/>
              </w:rPr>
              <w:t xml:space="preserve"> (</w:t>
            </w:r>
            <w:r>
              <w:rPr>
                <w:iCs/>
              </w:rPr>
              <w:t xml:space="preserve">пяти</w:t>
            </w:r>
            <w:r>
              <w:rPr>
                <w:iCs/>
              </w:rPr>
              <w:t xml:space="preserve">) рабочих дней с даты подведения итогов </w:t>
            </w:r>
            <w:r>
              <w:rPr>
                <w:iCs/>
              </w:rPr>
              <w:t xml:space="preserve">продажи имущества</w:t>
            </w:r>
            <w:r>
              <w:rPr>
                <w:iCs/>
              </w:rPr>
              <w:t xml:space="preserve"> заключают договор купли-продажи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 в </w:t>
            </w:r>
            <w:r>
              <w:rPr>
                <w:iCs/>
              </w:rPr>
              <w:t xml:space="preserve">в</w:t>
            </w:r>
            <w:r>
              <w:rPr>
                <w:iCs/>
              </w:rPr>
              <w:t xml:space="preserve">иде </w:t>
            </w:r>
            <w:r>
              <w:rPr>
                <w:iCs/>
              </w:rPr>
              <w:t xml:space="preserve">электронного документа</w:t>
            </w:r>
            <w:r>
              <w:rPr>
                <w:iCs/>
              </w:rPr>
              <w:t xml:space="preserve">,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проект которого </w:t>
            </w:r>
            <w:r>
              <w:rPr>
                <w:iCs/>
              </w:rPr>
              <w:t xml:space="preserve">приведен в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Приложени</w:t>
            </w:r>
            <w:r>
              <w:rPr>
                <w:iCs/>
              </w:rPr>
              <w:t xml:space="preserve">и</w:t>
            </w:r>
            <w:r>
              <w:rPr>
                <w:iCs/>
              </w:rPr>
              <w:t xml:space="preserve"> № </w:t>
            </w:r>
            <w:r>
              <w:rPr>
                <w:iCs/>
              </w:rPr>
              <w:t xml:space="preserve">6</w:t>
            </w:r>
            <w:r>
              <w:rPr>
                <w:iCs/>
              </w:rPr>
              <w:t xml:space="preserve"> к настоящему информационному сообщению.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872"/>
              <w:jc w:val="both"/>
              <w:spacing w:before="0" w:beforeAutospacing="0" w:after="0" w:afterAutospacing="0"/>
            </w:pPr>
            <w:r/>
            <w:bookmarkStart w:id="4" w:name="_Toc467070671"/>
            <w:r/>
            <w:bookmarkEnd w:id="3"/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При уклонении или отказе победителя аукциона 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либо лица, признанного единственным участником аукциона, 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от заключения в установленный срок договора купли-продажи результаты 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продажи имущества аннулируются, п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обедитель 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либо лицо, признанное единственным участником аукциона,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 утрачивает право на заключение указанного договора, задаток ему не возвращается.</w:t>
            </w:r>
            <w:bookmarkEnd w:id="4"/>
            <w:r/>
            <w:r/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16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iCs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Порядок ознакомления Претендентов с информацией, условиями договора купли-</w:t>
            </w:r>
            <w:r>
              <w:rPr>
                <w:rFonts w:eastAsia="Calibri"/>
                <w:b/>
                <w:bCs/>
              </w:rPr>
              <w:t xml:space="preserve">продажи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eastAsia="Calibri"/>
                <w:b/>
                <w:bCs/>
                <w:color w:val="000000"/>
                <w:lang w:eastAsia="en-US"/>
              </w:rPr>
            </w:pPr>
            <w:r/>
            <w:bookmarkStart w:id="5" w:name="_Toc467070617"/>
            <w:r>
              <w:rPr>
                <w:rFonts w:eastAsia="Calibri"/>
                <w:color w:val="000000"/>
                <w:lang w:eastAsia="en-US"/>
              </w:rPr>
              <w:t xml:space="preserve">Любое лицо, независимо от регистрации на </w:t>
            </w:r>
            <w:r>
              <w:rPr>
                <w:rFonts w:eastAsia="Calibri"/>
                <w:color w:val="000000"/>
                <w:lang w:eastAsia="en-US"/>
              </w:rPr>
              <w:t xml:space="preserve">электронной площадке Оператора</w:t>
            </w:r>
            <w:r>
              <w:rPr>
                <w:rFonts w:eastAsia="Calibri"/>
                <w:color w:val="000000"/>
                <w:lang w:eastAsia="en-US"/>
              </w:rPr>
              <w:t xml:space="preserve">, вправе на</w:t>
            </w:r>
            <w:r>
              <w:rPr>
                <w:rFonts w:eastAsia="Calibri"/>
                <w:color w:val="000000"/>
                <w:lang w:eastAsia="en-US"/>
              </w:rPr>
              <w:t xml:space="preserve">править на электронный адрес Оператора</w:t>
            </w:r>
            <w:r>
              <w:rPr>
                <w:rFonts w:eastAsia="Calibri"/>
                <w:color w:val="000000"/>
                <w:lang w:eastAsia="en-US"/>
              </w:rPr>
              <w:t xml:space="preserve">, указанный в информационном сообщении, запрос о разъяснении размещенной информации. Запрос разъяснений подлежит рассмотрению Пр</w:t>
            </w:r>
            <w:r>
              <w:rPr>
                <w:rFonts w:eastAsia="Calibri"/>
                <w:color w:val="000000"/>
                <w:lang w:eastAsia="en-US"/>
              </w:rPr>
              <w:t xml:space="preserve">одавцом, если он был получен Оператором</w:t>
            </w:r>
            <w:r>
              <w:rPr>
                <w:rFonts w:eastAsia="Calibri"/>
                <w:color w:val="000000"/>
                <w:lang w:eastAsia="en-US"/>
              </w:rPr>
              <w:t xml:space="preserve">, не позднее чем за 5 (пять) рабочих дней до даты </w:t>
            </w:r>
            <w:r>
              <w:rPr>
                <w:rFonts w:eastAsia="Calibri"/>
                <w:color w:val="000000"/>
                <w:lang w:eastAsia="en-US"/>
              </w:rPr>
              <w:t xml:space="preserve">и времени</w:t>
            </w:r>
            <w:r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 xml:space="preserve">окончания приема заявок, указанный в информационном сообщении о проведении продажи</w:t>
            </w:r>
            <w:r>
              <w:rPr>
                <w:rFonts w:eastAsia="Calibri"/>
                <w:color w:val="000000"/>
                <w:lang w:eastAsia="en-US"/>
              </w:rPr>
              <w:t xml:space="preserve"> имущества</w:t>
            </w:r>
            <w:r>
              <w:rPr>
                <w:rFonts w:eastAsia="Calibri"/>
                <w:color w:val="000000"/>
                <w:lang w:eastAsia="en-US"/>
              </w:rPr>
              <w:t xml:space="preserve">, </w:t>
            </w:r>
            <w:r>
              <w:rPr>
                <w:rFonts w:eastAsia="Calibri"/>
                <w:color w:val="000000"/>
                <w:lang w:eastAsia="en-US"/>
              </w:rPr>
              <w:t xml:space="preserve">указанный в п.3 раздела 10 информационного сообщения</w:t>
            </w:r>
            <w:bookmarkEnd w:id="5"/>
            <w:r>
              <w:rPr>
                <w:rFonts w:eastAsia="Calibri"/>
                <w:color w:val="000000"/>
                <w:lang w:eastAsia="en-US"/>
              </w:rPr>
              <w:t xml:space="preserve"> (Приложение № </w:t>
            </w:r>
            <w:r>
              <w:rPr>
                <w:rFonts w:eastAsia="Calibri"/>
                <w:color w:val="000000"/>
                <w:lang w:eastAsia="en-US"/>
              </w:rPr>
              <w:t xml:space="preserve">7</w:t>
            </w:r>
            <w:r>
              <w:rPr>
                <w:rFonts w:eastAsia="Calibri"/>
                <w:color w:val="000000"/>
                <w:lang w:eastAsia="en-US"/>
              </w:rPr>
              <w:t xml:space="preserve">).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случае направления запроса иностранными лицами такой запрос должен иметь перевод на русский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язык.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С иной информацией, условиями договора купли-продажи претенденты могут ознакомиться в департаменте имущественных и земельных отношений Костромской области по адресу: г. Кострома, ул. Калиновская, д. 38, к</w:t>
            </w:r>
            <w:r>
              <w:rPr>
                <w:iCs/>
              </w:rPr>
              <w:t xml:space="preserve">аб</w:t>
            </w:r>
            <w:r>
              <w:rPr>
                <w:iCs/>
              </w:rPr>
              <w:t xml:space="preserve">. 222, по телефонам </w:t>
            </w:r>
            <w:r>
              <w:rPr>
                <w:iCs/>
              </w:rPr>
              <w:t xml:space="preserve">+7 </w:t>
            </w:r>
            <w:r>
              <w:rPr>
                <w:iCs/>
              </w:rPr>
              <w:t xml:space="preserve">(4942) 45-20-12, 45-70-94 либо на сайтах в сети «Интернет»: официальном сайте Российской Федерации </w:t>
            </w:r>
            <w:r>
              <w:rPr>
                <w:iCs/>
              </w:rPr>
              <w:t xml:space="preserve">для размещения информации о проведении торгов</w:t>
            </w:r>
            <w:r>
              <w:rPr>
                <w:iCs/>
              </w:rPr>
              <w:t xml:space="preserve"> www.torgi.gov.ru, на сайте продавца - департамента имущественных и земельных отношений Костромской области </w:t>
            </w:r>
            <w:r>
              <w:rPr>
                <w:iCs/>
              </w:rPr>
              <w:t xml:space="preserve">dizo.kostroma.gov.ru</w:t>
            </w:r>
            <w:r>
              <w:rPr>
                <w:iCs/>
              </w:rPr>
              <w:t xml:space="preserve">, на Портале государственных органов Костромской области www.аdm44.ru.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17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Ограничения участия отдельных категорий физических лиц и юридических лиц в приватизации имущества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ind w:firstLine="317"/>
              <w:jc w:val="both"/>
              <w:spacing w:before="0" w:beforeAutospacing="0" w:after="0" w:afterAutospacing="0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 xml:space="preserve">В соответствии со статьей 5 </w:t>
            </w:r>
            <w:r>
              <w:rPr>
                <w:rFonts w:eastAsia="Calibri"/>
                <w:color w:val="00000a"/>
                <w:lang w:eastAsia="en-US"/>
              </w:rPr>
              <w:t xml:space="preserve">Федерального закона от 21 декабря 2001 года № 178-ФЗ «О приватизации государственного и муниципального имущества»</w:t>
            </w:r>
            <w:r>
              <w:rPr>
                <w:rFonts w:eastAsia="Calibri"/>
                <w:color w:val="00000a"/>
                <w:lang w:eastAsia="en-US"/>
              </w:rPr>
              <w:t xml:space="preserve"> п</w:t>
            </w:r>
            <w:r>
              <w:rPr>
                <w:rFonts w:eastAsia="Calibri"/>
                <w:color w:val="00000a"/>
                <w:lang w:eastAsia="en-US"/>
              </w:rPr>
              <w:t xml:space="preserve">окупателями имущества могут быть любые физические и юридические лица, за исключением:</w:t>
            </w:r>
            <w:r>
              <w:rPr>
                <w:rFonts w:eastAsia="Calibri"/>
                <w:color w:val="00000a"/>
                <w:lang w:eastAsia="en-US"/>
              </w:rPr>
            </w:r>
            <w:r>
              <w:rPr>
                <w:rFonts w:eastAsia="Calibri"/>
                <w:color w:val="00000a"/>
                <w:lang w:eastAsia="en-US"/>
              </w:rPr>
            </w:r>
          </w:p>
          <w:p>
            <w:pPr>
              <w:ind w:firstLine="317"/>
              <w:jc w:val="both"/>
              <w:spacing w:before="0" w:beforeAutospacing="0" w:after="0" w:afterAutospacing="0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 xml:space="preserve">государственных и муниципальных унитарных предприятий, государственных и муниципальных учреждений;</w:t>
            </w:r>
            <w:r>
              <w:rPr>
                <w:rFonts w:eastAsia="Calibri"/>
                <w:color w:val="00000a"/>
                <w:lang w:eastAsia="en-US"/>
              </w:rPr>
            </w:r>
            <w:r>
              <w:rPr>
                <w:rFonts w:eastAsia="Calibri"/>
                <w:color w:val="00000a"/>
                <w:lang w:eastAsia="en-US"/>
              </w:rPr>
            </w:r>
          </w:p>
          <w:p>
            <w:pPr>
              <w:ind w:firstLine="317"/>
              <w:jc w:val="both"/>
              <w:spacing w:before="0" w:beforeAutospacing="0" w:after="0" w:afterAutospacing="0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 xml:space="preserve">юридических лиц, в уставном капитале которых доля Росси</w:t>
            </w:r>
            <w:r>
              <w:rPr>
                <w:rFonts w:eastAsia="Calibri"/>
                <w:color w:val="00000a"/>
                <w:lang w:eastAsia="en-US"/>
              </w:rPr>
              <w:t xml:space="preserve">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 декабря 2001 года № 178-ФЗ «О приватизации государственного и муниципального имущества»;</w:t>
            </w:r>
            <w:r>
              <w:rPr>
                <w:rFonts w:eastAsia="Calibri"/>
                <w:color w:val="00000a"/>
                <w:lang w:eastAsia="en-US"/>
              </w:rPr>
            </w:r>
            <w:r>
              <w:rPr>
                <w:rFonts w:eastAsia="Calibri"/>
                <w:color w:val="00000a"/>
                <w:lang w:eastAsia="en-US"/>
              </w:rPr>
            </w:r>
          </w:p>
          <w:p>
            <w:pPr>
              <w:pStyle w:val="938"/>
              <w:ind w:firstLine="318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4" w:tooltip="consultantplus://offline/ref=C40AFE508C514D370134858A427D488572E28F346EB751B3176E2E17DCF8B6FF67495B5Eo2J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перечень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18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Порядок проведения </w:t>
            </w:r>
            <w:r>
              <w:rPr>
                <w:b/>
                <w:iCs/>
              </w:rPr>
              <w:t xml:space="preserve">продажи имущества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и о</w:t>
            </w:r>
            <w:r>
              <w:rPr>
                <w:b/>
              </w:rPr>
              <w:t xml:space="preserve">пределени</w:t>
            </w:r>
            <w:r>
              <w:rPr>
                <w:b/>
              </w:rPr>
              <w:t xml:space="preserve">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обедителя</w:t>
            </w:r>
            <w:r>
              <w:rPr>
                <w:b/>
              </w:rPr>
              <w:t xml:space="preserve"> продажи имущества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Продажа имущества проводится в день и </w:t>
            </w:r>
            <w:r>
              <w:rPr>
                <w:rFonts w:eastAsia="Calibri"/>
                <w:lang w:eastAsia="en-US"/>
              </w:rPr>
              <w:t xml:space="preserve">во время</w:t>
            </w:r>
            <w:r>
              <w:rPr>
                <w:rFonts w:eastAsia="Calibri"/>
                <w:lang w:eastAsia="en-US"/>
              </w:rPr>
              <w:t xml:space="preserve">, указанные </w:t>
            </w:r>
            <w:r>
              <w:rPr>
                <w:rFonts w:eastAsia="Calibri"/>
                <w:color w:val="000000"/>
                <w:lang w:eastAsia="en-US"/>
              </w:rPr>
              <w:t xml:space="preserve">п.5 раздела 10 информационного сообщения</w:t>
            </w:r>
            <w:r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 xml:space="preserve">путем последовательного </w:t>
            </w:r>
            <w:r>
              <w:rPr>
                <w:rFonts w:eastAsia="Calibri"/>
                <w:lang w:eastAsia="en-US"/>
              </w:rPr>
              <w:t xml:space="preserve">повышения участниками начальной цены продажи на величину, равную либо кратную величине «шага аукциона» (см. таблицу).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ind w:firstLine="540"/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</w:t>
            </w:r>
            <w:r>
              <w:rPr>
                <w:rFonts w:eastAsia="Calibri"/>
                <w:lang w:eastAsia="en-US"/>
              </w:rPr>
              <w:t xml:space="preserve">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ind w:firstLine="540"/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б) не </w:t>
            </w:r>
            <w:r>
              <w:rPr>
                <w:rFonts w:eastAsia="Calibri"/>
                <w:lang w:eastAsia="en-US"/>
              </w:rPr>
              <w:t xml:space="preserve">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highlight w:val="none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Победителем признается участник, предложивший наиболее высокую цену имущества.</w:t>
            </w:r>
            <w:r>
              <w:rPr>
                <w:rFonts w:eastAsia="Calibri"/>
                <w:highlight w:val="none"/>
                <w:lang w:eastAsia="en-US"/>
              </w:rPr>
            </w:r>
            <w:r>
              <w:rPr>
                <w:rFonts w:eastAsia="Calibri"/>
                <w:highlight w:val="none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  <w:highlight w:val="none"/>
                <w:lang w:eastAsia="en-US"/>
              </w:rPr>
              <w:t xml:space="preserve"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имущества.</w:t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  <w:highlight w:val="none"/>
                <w:lang w:eastAsia="en-US"/>
              </w:rPr>
              <w:t xml:space="preserve">В случае отказа лица, признанного единственным участником аукциона, от заключения договора аукцион признается несостоявшимся.</w:t>
            </w:r>
            <w:r>
              <w:rPr>
                <w:rFonts w:eastAsia="Calibri"/>
                <w:highlight w:val="none"/>
                <w:lang w:eastAsia="en-US"/>
              </w:rPr>
            </w:r>
            <w:r/>
          </w:p>
        </w:tc>
      </w:tr>
      <w:tr>
        <w:tblPrEx/>
        <w:trPr>
          <w:trHeight w:val="3056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19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52"/>
              <w:spacing w:before="0" w:beforeAutospacing="0" w:after="0" w:afterAutospacing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  <w:r>
              <w:rPr>
                <w:rFonts w:eastAsia="Calibri"/>
                <w:b/>
                <w:bCs/>
              </w:rPr>
            </w:r>
            <w:r>
              <w:rPr>
                <w:rFonts w:eastAsia="Calibri"/>
                <w:b/>
                <w:b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t xml:space="preserve">По </w:t>
            </w:r>
            <w:r>
              <w:rPr>
                <w:highlight w:val="none"/>
              </w:rPr>
              <w:t xml:space="preserve">лотам </w:t>
            </w:r>
            <w:r>
              <w:t xml:space="preserve"> № 1,</w:t>
            </w:r>
            <w:r>
              <w:t xml:space="preserve"> </w:t>
            </w:r>
            <w:r>
              <w:rPr>
                <w:highlight w:val="none"/>
              </w:rPr>
              <w:t xml:space="preserve">№ 2, № 3 торги</w:t>
            </w:r>
            <w:r>
              <w:t xml:space="preserve"> 24 января 2025 года, 14 марта                     2025 года, 7 мая 2025 года, 4 июля 2025 года, 26 сентября                                2025 года, 28 ноября 2025 года признаны несостоявшимися  по причине отсутствия заявок.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По лотам № 4, № 5, № 6, № 7  </w:t>
            </w:r>
            <w:r>
              <w:rPr>
                <w:highlight w:val="none"/>
              </w:rPr>
              <w:t xml:space="preserve">торги </w:t>
            </w:r>
            <w:r>
              <w:t xml:space="preserve">26 сентября 2025 года,                                    28 ноября 2025 года</w:t>
            </w:r>
            <w:r>
              <w:t xml:space="preserve"> </w:t>
            </w:r>
            <w:r>
              <w:t xml:space="preserve">признаны несостоявшимися  по причине отсутствия заявок.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По лоту № 8 торги не проводились</w:t>
            </w:r>
            <w: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</w:pPr>
            <w:r>
              <w:rPr>
                <w:highlight w:val="none"/>
              </w:rPr>
            </w:r>
            <w:r/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20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iCs/>
              </w:rPr>
            </w:pP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Порядок осмотра 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Лота (объекта)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Осмотр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лотов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производится без взимания платы по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предварительному согласованию даты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времени проведения осмотра на основании направленного обращения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на электронный адрес: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dizo@kostroma.gov.ru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, либо по телефонам: 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+ 7 (4942) 45-20-12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45-70-94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В случае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направл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ения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обращени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по электронной почте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</w:t>
            </w:r>
            <w:hyperlink r:id="rId15" w:tooltip="mailto:dizo@adm44.ru" w:history="1">
              <w:r>
                <w:rPr>
                  <w:rStyle w:val="894"/>
                  <w:rFonts w:ascii="Times New Roman" w:hAnsi="Times New Roman" w:eastAsia="Times New Roman" w:cs="Times New Roman"/>
                  <w:bCs/>
                  <w:lang w:val="en-US"/>
                </w:rPr>
              </w:r>
              <w:r>
                <w:rPr>
                  <w:rStyle w:val="894"/>
                  <w:rFonts w:ascii="Times New Roman" w:hAnsi="Times New Roman" w:eastAsia="Times New Roman" w:cs="Times New Roman"/>
                  <w:bCs/>
                  <w:lang w:val="en-US"/>
                </w:rPr>
                <w:t xml:space="preserve">dizo@kostroma.gov.ru</w:t>
              </w:r>
              <w:r>
                <w:rPr>
                  <w:rStyle w:val="894"/>
                  <w:rFonts w:ascii="Times New Roman" w:hAnsi="Times New Roman" w:eastAsia="Times New Roman" w:cs="Times New Roman"/>
                  <w:bCs/>
                  <w:lang w:val="en-US"/>
                </w:rPr>
              </w:r>
            </w:hyperlink>
            <w:r>
              <w:rPr>
                <w:rFonts w:ascii="Times New Roman" w:hAnsi="Times New Roman" w:eastAsia="Times New Roman" w:cs="Times New Roman"/>
                <w:bCs/>
              </w:rPr>
              <w:t xml:space="preserve"> необходимо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указа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ть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следующи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данны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тема письма: Запрос на осмотр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лота № (объекта)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Ф.И.О. лица, уполномоченного на осмотр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лота № (объекта)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(физического лица, индивидуального предпринимателя, руководителя юридического лица или их представителей);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наименование юридического лица (для юридического лица);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почтовый адрес или адрес электронной почты, контактный телефон;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дата аукциона;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местоположение (адрес)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лота №  (объекта).</w:t>
            </w:r>
            <w:r>
              <w:rPr>
                <w:rFonts w:ascii="Times New Roman" w:hAnsi="Times New Roman" w:eastAsia="Times New Roman" w:cs="Times New Roman"/>
                <w:iCs/>
              </w:rPr>
            </w:r>
            <w:r>
              <w:rPr>
                <w:rFonts w:ascii="Times New Roman" w:hAnsi="Times New Roman" w:eastAsia="Times New Roman" w:cs="Times New Roman"/>
                <w:iCs/>
              </w:rPr>
            </w:r>
          </w:p>
        </w:tc>
      </w:tr>
    </w:tbl>
    <w:p>
      <w:pPr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rPr>
          <w:rFonts w:eastAsia="MS Mincho"/>
          <w:sz w:val="28"/>
          <w:szCs w:val="28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276" w:right="567" w:bottom="1247" w:left="1418" w:header="709" w:footer="709" w:gutter="0"/>
          <w:cols w:num="1" w:sep="0" w:space="720" w:equalWidth="1"/>
          <w:docGrid w:linePitch="360"/>
          <w:titlePg/>
        </w:sectPr>
      </w:pP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jc w:val="right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Таблица</w:t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jc w:val="center"/>
        <w:rPr>
          <w:rFonts w:eastAsia="MS Mincho"/>
        </w:rPr>
      </w:pPr>
      <w:r>
        <w:rPr>
          <w:rFonts w:eastAsia="MS Mincho"/>
          <w:sz w:val="28"/>
          <w:szCs w:val="28"/>
        </w:rPr>
      </w:r>
      <w:r>
        <w:rPr>
          <w:rFonts w:eastAsia="MS Mincho"/>
        </w:rPr>
      </w:r>
      <w:r>
        <w:rPr>
          <w:rFonts w:eastAsia="MS Mincho"/>
        </w:rPr>
      </w:r>
    </w:p>
    <w:p>
      <w:pPr>
        <w:jc w:val="center"/>
        <w:rPr>
          <w:rFonts w:eastAsia="MS Mincho"/>
        </w:rPr>
      </w:pPr>
      <w:r>
        <w:rPr>
          <w:rFonts w:eastAsia="MS Mincho"/>
          <w:sz w:val="28"/>
          <w:szCs w:val="28"/>
        </w:rPr>
        <w:t xml:space="preserve">Информация</w:t>
      </w:r>
      <w:r>
        <w:rPr>
          <w:rFonts w:eastAsia="MS Mincho"/>
        </w:rPr>
      </w:r>
      <w:r>
        <w:rPr>
          <w:rFonts w:eastAsia="MS Mincho"/>
        </w:rPr>
      </w:r>
    </w:p>
    <w:p>
      <w:pPr>
        <w:jc w:val="center"/>
        <w:rPr>
          <w:rFonts w:eastAsia="MS Mincho"/>
        </w:rPr>
      </w:pPr>
      <w:r>
        <w:rPr>
          <w:rFonts w:eastAsia="MS Mincho"/>
          <w:sz w:val="28"/>
          <w:szCs w:val="28"/>
        </w:rPr>
        <w:t xml:space="preserve">об условиях приватизации государственного имущества Костромской области,</w:t>
      </w:r>
      <w:r>
        <w:rPr>
          <w:rFonts w:eastAsia="MS Mincho"/>
        </w:rPr>
      </w:r>
      <w:r>
        <w:rPr>
          <w:rFonts w:eastAsia="MS Mincho"/>
        </w:rPr>
      </w:r>
    </w:p>
    <w:p>
      <w:pPr>
        <w:jc w:val="center"/>
        <w:rPr>
          <w:rFonts w:eastAsia="MS Mincho"/>
        </w:rPr>
      </w:pPr>
      <w:r>
        <w:rPr>
          <w:rFonts w:eastAsia="MS Mincho"/>
          <w:sz w:val="28"/>
          <w:szCs w:val="28"/>
        </w:rPr>
        <w:t xml:space="preserve">предла</w:t>
      </w:r>
      <w:r>
        <w:rPr>
          <w:rFonts w:eastAsia="MS Mincho"/>
          <w:sz w:val="28"/>
          <w:szCs w:val="28"/>
        </w:rPr>
        <w:t xml:space="preserve">гаемого к продаже на аукционе 30 января 2026 года</w:t>
      </w:r>
      <w:r>
        <w:rPr>
          <w:rFonts w:eastAsia="MS Mincho"/>
        </w:rPr>
      </w:r>
      <w:r>
        <w:rPr>
          <w:rFonts w:eastAsia="MS Mincho"/>
        </w:rPr>
      </w:r>
    </w:p>
    <w:p>
      <w:pPr>
        <w:rPr>
          <w:rFonts w:eastAsia="MS Mincho"/>
        </w:rPr>
      </w:pPr>
      <w:r>
        <w:rPr>
          <w:rFonts w:eastAsia="MS Mincho"/>
          <w:sz w:val="24"/>
          <w:szCs w:val="28"/>
        </w:rPr>
      </w:r>
      <w:r>
        <w:rPr>
          <w:rFonts w:eastAsia="MS Mincho"/>
        </w:rPr>
      </w:r>
      <w:r>
        <w:rPr>
          <w:rFonts w:eastAsia="MS Mincho"/>
        </w:rPr>
      </w:r>
    </w:p>
    <w:tbl>
      <w:tblPr>
        <w:tblW w:w="15373" w:type="dxa"/>
        <w:tblInd w:w="-1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3544"/>
        <w:gridCol w:w="1951"/>
        <w:gridCol w:w="1451"/>
        <w:gridCol w:w="1347"/>
        <w:gridCol w:w="1183"/>
        <w:gridCol w:w="1100"/>
        <w:gridCol w:w="1384"/>
        <w:gridCol w:w="1288"/>
        <w:gridCol w:w="1667"/>
      </w:tblGrid>
      <w:tr>
        <w:tblPrEx/>
        <w:trPr>
          <w:trHeight w:val="285"/>
        </w:trPr>
        <w:tc>
          <w:tcPr>
            <w:tcW w:w="458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лота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продажи, технические характеристики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1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(местоположение) объекта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508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Начальная цена продажи, </w:t>
            </w:r>
            <w:r>
              <w:rPr>
                <w:sz w:val="22"/>
                <w:szCs w:val="22"/>
              </w:rPr>
              <w:t xml:space="preserve">руб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Величина повышения начальной цены («шаг аукциона»)</w:t>
            </w:r>
            <w:r>
              <w:rPr>
                <w:sz w:val="22"/>
                <w:szCs w:val="22"/>
              </w:rPr>
              <w:t xml:space="preserve">,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Задаток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(10 % от начальной цены),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6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Состояние имущества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8"/>
        </w:trPr>
        <w:tc>
          <w:tcPr>
            <w:tcW w:w="458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1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51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(с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363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в том числе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67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57"/>
        </w:trPr>
        <w:tc>
          <w:tcPr>
            <w:tcW w:w="458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1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51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47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Объекты недвижи-мости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(с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Объекты движи-мого иму- щества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00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участок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67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5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комплекс объектов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здание ангара,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назначение: нежилое,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площадь 224,1 кв.м,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кадастровый номер 44:07:132301:201;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здание конюшни,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назначение: нежилое,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площадь 1486,2 кв.м,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кадастровый номер 44:07:132301:207,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с одновременным отчуждением земельного участка,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категория земель: земли сельскохозяйственного назначения, вид разрешенного использования: для сельскохозяйственного производст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ва,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площадь 28465 кв.м,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 кадастровый номер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44:07:132601: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1686, 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местоположение: «Местоположение установлено относительно ориентира, расположенного за пределами участка. Ориентир д. Наумово. Участок находится примерно в 60 м по направлению на запад. Почтовый адрес ориентира: Костромская область, Костромской район»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Костромская область, Костромской район,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п. Сухоногово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8 900 000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7 930 000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0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970 000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6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Требуют проведения капитального ремонта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5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нежилое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помещение № 5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, назначение: нежилое,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площадь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1477,2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кв.м,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кадастровый номер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44:26:020701:116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Костромская область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, Галичский район,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г. Галич,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ул. Лермонтова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,  д. 39, пом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. 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3 828 902,40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3 828 902,40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0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382 890,24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6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Требует проведения капитального ремонта</w:t>
            </w:r>
            <w:r>
              <w:rPr>
                <w:sz w:val="22"/>
                <w:szCs w:val="22"/>
              </w:rPr>
            </w:r>
            <w:r/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5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</w:rPr>
              <w:t xml:space="preserve">нежило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</w:rPr>
              <w:t xml:space="preserve">е здание,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назначение: нежилое,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площадь 1683,4 кв.м,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white"/>
                <w:lang w:val="ru-RU"/>
              </w:rPr>
              <w:t xml:space="preserve">кадастровый номер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white"/>
                <w:lang w:val="ru-RU"/>
              </w:rPr>
              <w:t xml:space="preserve">44:09:150101:1835,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с одновременным отчуждением земельного участка,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 категория земель: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земли населенных пунктов, вид разрешенного использования: амбулаторно-поликлиническое обслуживание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площадь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none"/>
              </w:rPr>
              <w:t xml:space="preserve">3442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none"/>
              </w:rPr>
              <w:t xml:space="preserve"> кв.м,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кадастровый номер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white"/>
                <w:lang w:val="ru-RU"/>
              </w:rPr>
              <w:t xml:space="preserve">44:09:150101: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2303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ограничения (обременения)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зоны с особыми условиями использования территорий: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охранная зона линий сооружений связи и линий и сооружений радиофикации площадью 87 кв.м, охранные зоны инженерных коммуникаций площадью 63 кв.м,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площадью 131 кв.м,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площадью 189 кв.м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2"/>
                <w:szCs w:val="22"/>
                <w:lang w:eastAsia="ru-RU"/>
              </w:rPr>
              <w:t xml:space="preserve">Костромская область, Макарьевский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район, </w:t>
            </w:r>
            <w:r/>
          </w:p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пос. Горчуха, </w:t>
            </w:r>
            <w:r/>
          </w:p>
          <w:p>
            <w:pPr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ул. 1 Мая, д.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tcW w:w="14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3 600 000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3 250 000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0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350 000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72 000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6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Требует проведения капитального ремонта</w:t>
            </w:r>
            <w:r/>
          </w:p>
          <w:p>
            <w:pPr>
              <w:jc w:val="center"/>
            </w:pPr>
            <w:r/>
            <w:r/>
          </w:p>
        </w:tc>
      </w:tr>
      <w:tr>
        <w:tblPrEx/>
        <w:trPr>
          <w:trHeight w:val="20"/>
        </w:trPr>
        <w:tc>
          <w:tcPr>
            <w:tcW w:w="45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ж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, назначение: гараж,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площадь 20,6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кв.м,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кадастровый номер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44:27:040518:194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однов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ременным отчуждением земельного участка,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категория земель: земли населенных пунктов, вид разрешенного использования: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подземные, подземно-наземные, наземные стоянки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площадь 24 кв.м,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адастровый номер 44:27:040518:494,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местоположение: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Костромская область,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Кострома, ул. Смирнова Юрия, 81, ГСК № 175, гаражный бокс 32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Костромская область,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Кострома, территория ГСК 175, бокс 32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705 685,20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600 325,20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0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105 360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70 568,52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6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Требует проведения капитального ремонта</w:t>
            </w:r>
            <w:r/>
          </w:p>
        </w:tc>
      </w:tr>
      <w:tr>
        <w:tblPrEx/>
        <w:trPr>
          <w:trHeight w:val="20"/>
        </w:trPr>
        <w:tc>
          <w:tcPr>
            <w:tcW w:w="45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ж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, назначение: гараж,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площадь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кв.м,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кадастровый номер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44:27:040518:204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однов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ременным отчуждением земельного участка,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категория земель: земли населенных пунктов, вид разрешенного использования: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подземные, подземно-наземные, наземные стоянки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площадь 23 кв.м,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адастровый номер 44:27:040518:495,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местоположение: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Костромская область,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Кострома, ул. Смирнова Юрия, 81, ГСК № 175, гаражный бокс 33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Костромская область,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Кострома, территория ГСК 175, бокс 33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695 812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593 232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0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102 580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69 581,20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6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Требует проведения капитального ремонта</w:t>
            </w:r>
            <w:r/>
          </w:p>
        </w:tc>
      </w:tr>
      <w:tr>
        <w:tblPrEx/>
        <w:trPr>
          <w:trHeight w:val="20"/>
        </w:trPr>
        <w:tc>
          <w:tcPr>
            <w:tcW w:w="45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ж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, назначение: гараж,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площадь 19,8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кв.м,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кадастровый номер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44:27:040518:186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однов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ременным отчуждением земельного участка,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категория земель: земли населенных пунктов, вид разрешенного использования: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подземные, подземно-наземные, наземные стоянки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площадь 23 кв.м,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адастровый номер 44:27:040518:496,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местоположение: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Костромская область,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Кострома, ул. Смирнова Юрия, 81, ГСК № 175, гаражный бокс 34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Костромская область,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Кострома, территория ГСК 175, бокс 34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686 544,72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584 424,72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0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102 120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68 654,47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6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Требует проведения капитального ремонта</w:t>
            </w:r>
            <w:r/>
          </w:p>
        </w:tc>
      </w:tr>
      <w:tr>
        <w:tblPrEx/>
        <w:trPr>
          <w:trHeight w:val="20"/>
        </w:trPr>
        <w:tc>
          <w:tcPr>
            <w:tcW w:w="45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4"/>
                <w:szCs w:val="24"/>
                <w:highlight w:val="none"/>
              </w:rPr>
              <w:t xml:space="preserve">здание конторы Шарьинского лесничества,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нежилое,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площадь 136,3 кв.м,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4"/>
                <w:szCs w:val="24"/>
                <w:highlight w:val="white"/>
                <w:lang w:val="ru-RU"/>
              </w:rPr>
              <w:t xml:space="preserve">кадастровый номер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4"/>
                <w:szCs w:val="24"/>
                <w:highlight w:val="white"/>
                <w:lang w:val="ru-RU"/>
              </w:rPr>
              <w:t xml:space="preserve">44:31:030809:94,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с одновременным отчуждением земельного участка,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категория земель: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земли населенных пунктов, вид разрешенного использования: для размещения здания конторы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площадь 1650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none"/>
              </w:rPr>
              <w:t xml:space="preserve">кв.м,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кадастровый номер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4"/>
                <w:szCs w:val="24"/>
                <w:highlight w:val="white"/>
                <w:lang w:val="ru-RU"/>
              </w:rPr>
              <w:t xml:space="preserve">44:31:030809: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4"/>
                <w:szCs w:val="24"/>
                <w:highlight w:val="white"/>
                <w:lang w:val="ru-RU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, местоположение: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местоположение установлено относительно ориентира, расположенного в границах участка. Почтовый адрес ориентира: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Костромская область,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 xml:space="preserve">Шарьинский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район, г. Шарья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,      ул. Советская, д.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137а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none"/>
              </w:rPr>
              <w:t xml:space="preserve">ограничения (обременения)</w:t>
            </w:r>
            <w:r>
              <w:rPr>
                <w:sz w:val="24"/>
                <w:szCs w:val="24"/>
              </w:rPr>
              <w:t xml:space="preserve">: охранная зона ЛЭП площадью 103 кв.м, охранная зона инженерных коммуникаций площадью 8 кв.м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 xml:space="preserve">Костромская область, Шарьинский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район, г. Шарья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, ул. Советская, д.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137а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0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6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Требует проведения капитального ремонта</w:t>
            </w:r>
            <w:r/>
          </w:p>
        </w:tc>
      </w:tr>
      <w:tr>
        <w:tblPrEx/>
        <w:trPr>
          <w:trHeight w:val="20"/>
        </w:trPr>
        <w:tc>
          <w:tcPr>
            <w:tcW w:w="45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  <w:t xml:space="preserve">комплекс объектов: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здание кинопроката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, назначение: нежилое,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площадь 1430,4 кв.м,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кадастровый номер 44:27:070104:946;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здание гаража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назначение: нежилое,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площадь 249,3 кв.м,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кадастровый номер 44:27:070104:942;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здание склада,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назначение: нежилое,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площадь 261,6 кв.м,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кадастровый номер 44:27:070104:948,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 однов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ременным отчуждением земельного участка,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категория земель: земли населенных пунктов, вид разрешенного использования: для эксплуатации зданий и сооружений,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площадь                       4393 кв.м,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кадастровый номер 44:27:070104:33,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местоположение: «Местоположение установлено относительно ориентира, расположенного в границах участка. Почтовый адрес ориентира: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Костромская область,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г. Кострома, ул. Льняная, д. 15»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none"/>
              </w:rPr>
              <w:t xml:space="preserve">ограничения (обременения)</w:t>
            </w:r>
            <w:r>
              <w:rPr>
                <w:sz w:val="24"/>
                <w:szCs w:val="24"/>
              </w:rPr>
              <w:t xml:space="preserve">: охранная зона инженерных коммуникаций площадью 140 кв.м, санитарно-защитная зона предприятий, сооружений и иных объектов площадью 4393 кв.м, охранная зона транспорта </w:t>
            </w:r>
            <w:r>
              <w:rPr>
                <w:sz w:val="24"/>
                <w:szCs w:val="24"/>
              </w:rPr>
              <w:t xml:space="preserve">площадью 4393 кв.м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охранная зона транспорта </w:t>
            </w:r>
            <w:r>
              <w:rPr>
                <w:sz w:val="24"/>
                <w:szCs w:val="24"/>
              </w:rPr>
              <w:t xml:space="preserve">площадью 4393 кв.м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охранная зона транспорта </w:t>
            </w:r>
            <w:r>
              <w:rPr>
                <w:sz w:val="24"/>
                <w:szCs w:val="24"/>
              </w:rPr>
              <w:t xml:space="preserve">площадью 4393 кв.м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Костромская область,                       г. Кострома, ул. Льняная, д. 15</w:t>
            </w:r>
            <w:r/>
          </w:p>
        </w:tc>
        <w:tc>
          <w:tcPr>
            <w:tcW w:w="14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t xml:space="preserve">30 289 629,80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3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14 540 287,80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11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-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110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15 749 342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1 500 000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3 028 962,98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6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Требует проведения капитального ремонта</w:t>
            </w:r>
            <w:r/>
          </w:p>
        </w:tc>
      </w:tr>
    </w:tbl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highlight w:val="none"/>
        </w:rPr>
      </w:pPr>
      <w:r>
        <w:t xml:space="preserve">___________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</w:pPr>
      <w:r>
        <w:rPr>
          <w:highlight w:val="none"/>
        </w:rPr>
      </w:r>
      <w:r>
        <w:rPr>
          <w:highlight w:val="none"/>
        </w:rPr>
      </w:r>
      <w:r/>
    </w:p>
    <w:sectPr>
      <w:footnotePr/>
      <w:endnotePr/>
      <w:type w:val="nextPage"/>
      <w:pgSz w:w="16838" w:h="11906" w:orient="landscape"/>
      <w:pgMar w:top="993" w:right="1134" w:bottom="850" w:left="113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NewRomanPSMT">
    <w:panose1 w:val="020206030504050203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MS Mincho">
    <w:panose1 w:val="02020603050405090304"/>
  </w:font>
  <w:font w:name="Cambria">
    <w:panose1 w:val="020408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8"/>
      <w:jc w:val="center"/>
    </w:pPr>
    <w:fldSimple w:instr="PAGE \* MERGEFORMAT">
      <w:r>
        <w:t xml:space="preserve">1</w:t>
      </w:r>
    </w:fldSimple>
    <w:r/>
    <w:r/>
  </w:p>
  <w:p>
    <w:pPr>
      <w:pStyle w:val="89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357" w:firstLine="3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57" w:firstLine="363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pStyle w:val="957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pStyle w:val="956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0000ff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multiLevelType w:val="hybridMultilevel"/>
    <w:styleLink w:val="953"/>
    <w:lvl w:ilvl="0">
      <w:start w:val="1"/>
      <w:numFmt w:val="decimal"/>
      <w:pStyle w:val="953"/>
      <w:isLgl w:val="false"/>
      <w:suff w:val="tab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isLgl w:val="false"/>
      <w:suff w:val="tab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92" w:hanging="180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upperRoman"/>
      <w:pStyle w:val="897"/>
      <w:isLgl w:val="false"/>
      <w:suff w:val="tab"/>
      <w:lvlText w:val="%1."/>
      <w:lvlJc w:val="left"/>
      <w:pPr>
        <w:ind w:left="96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60" w:hanging="180"/>
      </w:p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8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14"/>
  </w:num>
  <w:num w:numId="11">
    <w:abstractNumId w:val="9"/>
  </w:num>
  <w:num w:numId="12">
    <w:abstractNumId w:val="4"/>
  </w:num>
  <w:num w:numId="13">
    <w:abstractNumId w:val="10"/>
  </w:num>
  <w:num w:numId="14">
    <w:abstractNumId w:val="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2">
    <w:name w:val="table of figures"/>
    <w:basedOn w:val="870"/>
    <w:next w:val="870"/>
    <w:uiPriority w:val="99"/>
    <w:unhideWhenUsed/>
    <w:pPr>
      <w:spacing w:after="0" w:afterAutospacing="0"/>
    </w:pPr>
  </w:style>
  <w:style w:type="character" w:styleId="713">
    <w:name w:val="Heading 1 Char"/>
    <w:basedOn w:val="880"/>
    <w:link w:val="871"/>
    <w:uiPriority w:val="9"/>
    <w:rPr>
      <w:rFonts w:ascii="Arial" w:hAnsi="Arial" w:eastAsia="Arial" w:cs="Arial"/>
      <w:sz w:val="40"/>
      <w:szCs w:val="40"/>
    </w:rPr>
  </w:style>
  <w:style w:type="character" w:styleId="714">
    <w:name w:val="Heading 2 Char"/>
    <w:basedOn w:val="880"/>
    <w:link w:val="872"/>
    <w:uiPriority w:val="9"/>
    <w:rPr>
      <w:rFonts w:ascii="Arial" w:hAnsi="Arial" w:eastAsia="Arial" w:cs="Arial"/>
      <w:sz w:val="34"/>
    </w:rPr>
  </w:style>
  <w:style w:type="character" w:styleId="715">
    <w:name w:val="Heading 3 Char"/>
    <w:basedOn w:val="880"/>
    <w:link w:val="873"/>
    <w:uiPriority w:val="9"/>
    <w:rPr>
      <w:rFonts w:ascii="Arial" w:hAnsi="Arial" w:eastAsia="Arial" w:cs="Arial"/>
      <w:sz w:val="30"/>
      <w:szCs w:val="30"/>
    </w:rPr>
  </w:style>
  <w:style w:type="character" w:styleId="716">
    <w:name w:val="Heading 4 Char"/>
    <w:basedOn w:val="880"/>
    <w:link w:val="874"/>
    <w:uiPriority w:val="9"/>
    <w:rPr>
      <w:rFonts w:ascii="Arial" w:hAnsi="Arial" w:eastAsia="Arial" w:cs="Arial"/>
      <w:b/>
      <w:bCs/>
      <w:sz w:val="26"/>
      <w:szCs w:val="26"/>
    </w:rPr>
  </w:style>
  <w:style w:type="character" w:styleId="717">
    <w:name w:val="Heading 5 Char"/>
    <w:basedOn w:val="880"/>
    <w:link w:val="875"/>
    <w:uiPriority w:val="9"/>
    <w:rPr>
      <w:rFonts w:ascii="Arial" w:hAnsi="Arial" w:eastAsia="Arial" w:cs="Arial"/>
      <w:b/>
      <w:bCs/>
      <w:sz w:val="24"/>
      <w:szCs w:val="24"/>
    </w:rPr>
  </w:style>
  <w:style w:type="character" w:styleId="718">
    <w:name w:val="Heading 6 Char"/>
    <w:basedOn w:val="880"/>
    <w:link w:val="876"/>
    <w:uiPriority w:val="9"/>
    <w:rPr>
      <w:rFonts w:ascii="Arial" w:hAnsi="Arial" w:eastAsia="Arial" w:cs="Arial"/>
      <w:b/>
      <w:bCs/>
      <w:sz w:val="22"/>
      <w:szCs w:val="22"/>
    </w:rPr>
  </w:style>
  <w:style w:type="character" w:styleId="719">
    <w:name w:val="Heading 7 Char"/>
    <w:basedOn w:val="880"/>
    <w:link w:val="8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0">
    <w:name w:val="Heading 8 Char"/>
    <w:basedOn w:val="880"/>
    <w:link w:val="878"/>
    <w:uiPriority w:val="9"/>
    <w:rPr>
      <w:rFonts w:ascii="Arial" w:hAnsi="Arial" w:eastAsia="Arial" w:cs="Arial"/>
      <w:i/>
      <w:iCs/>
      <w:sz w:val="22"/>
      <w:szCs w:val="22"/>
    </w:rPr>
  </w:style>
  <w:style w:type="character" w:styleId="721">
    <w:name w:val="Heading 9 Char"/>
    <w:basedOn w:val="880"/>
    <w:link w:val="879"/>
    <w:uiPriority w:val="9"/>
    <w:rPr>
      <w:rFonts w:ascii="Arial" w:hAnsi="Arial" w:eastAsia="Arial" w:cs="Arial"/>
      <w:i/>
      <w:iCs/>
      <w:sz w:val="21"/>
      <w:szCs w:val="21"/>
    </w:rPr>
  </w:style>
  <w:style w:type="paragraph" w:styleId="722">
    <w:name w:val="No Spacing"/>
    <w:uiPriority w:val="1"/>
    <w:qFormat/>
    <w:pPr>
      <w:spacing w:before="0" w:after="0" w:line="240" w:lineRule="auto"/>
    </w:pPr>
  </w:style>
  <w:style w:type="paragraph" w:styleId="723">
    <w:name w:val="Title"/>
    <w:basedOn w:val="870"/>
    <w:next w:val="870"/>
    <w:link w:val="7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4">
    <w:name w:val="Title Char"/>
    <w:basedOn w:val="880"/>
    <w:link w:val="723"/>
    <w:uiPriority w:val="10"/>
    <w:rPr>
      <w:sz w:val="48"/>
      <w:szCs w:val="48"/>
    </w:rPr>
  </w:style>
  <w:style w:type="paragraph" w:styleId="725">
    <w:name w:val="Subtitle"/>
    <w:basedOn w:val="870"/>
    <w:next w:val="870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>
    <w:name w:val="Subtitle Char"/>
    <w:basedOn w:val="880"/>
    <w:link w:val="725"/>
    <w:uiPriority w:val="11"/>
    <w:rPr>
      <w:sz w:val="24"/>
      <w:szCs w:val="24"/>
    </w:rPr>
  </w:style>
  <w:style w:type="paragraph" w:styleId="727">
    <w:name w:val="Quote"/>
    <w:basedOn w:val="870"/>
    <w:next w:val="870"/>
    <w:link w:val="728"/>
    <w:uiPriority w:val="29"/>
    <w:qFormat/>
    <w:pPr>
      <w:ind w:left="720" w:right="720"/>
    </w:pPr>
    <w:rPr>
      <w:i/>
    </w:rPr>
  </w:style>
  <w:style w:type="character" w:styleId="728">
    <w:name w:val="Quote Char"/>
    <w:link w:val="727"/>
    <w:uiPriority w:val="29"/>
    <w:rPr>
      <w:i/>
    </w:rPr>
  </w:style>
  <w:style w:type="paragraph" w:styleId="729">
    <w:name w:val="Intense Quote"/>
    <w:basedOn w:val="870"/>
    <w:next w:val="870"/>
    <w:link w:val="730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>
    <w:name w:val="Intense Quote Char"/>
    <w:link w:val="729"/>
    <w:uiPriority w:val="30"/>
    <w:rPr>
      <w:i/>
    </w:rPr>
  </w:style>
  <w:style w:type="character" w:styleId="731">
    <w:name w:val="Header Char"/>
    <w:basedOn w:val="880"/>
    <w:link w:val="898"/>
    <w:uiPriority w:val="99"/>
  </w:style>
  <w:style w:type="character" w:styleId="732">
    <w:name w:val="Footer Char"/>
    <w:basedOn w:val="880"/>
    <w:link w:val="900"/>
    <w:uiPriority w:val="99"/>
  </w:style>
  <w:style w:type="paragraph" w:styleId="733">
    <w:name w:val="Caption"/>
    <w:basedOn w:val="870"/>
    <w:next w:val="870"/>
    <w:link w:val="7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4">
    <w:name w:val="Caption Char"/>
    <w:basedOn w:val="733"/>
    <w:link w:val="900"/>
    <w:uiPriority w:val="99"/>
  </w:style>
  <w:style w:type="table" w:styleId="735">
    <w:name w:val="Table Grid Light"/>
    <w:basedOn w:val="8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>
    <w:name w:val="Plain Table 1"/>
    <w:basedOn w:val="8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>
    <w:name w:val="Plain Table 2"/>
    <w:basedOn w:val="8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9">
    <w:name w:val="Plain Table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Plain Table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1">
    <w:name w:val="Grid Table 1 Light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4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3">
    <w:name w:val="Grid Table 4 - Accent 1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4">
    <w:name w:val="Grid Table 4 - Accent 2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5">
    <w:name w:val="Grid Table 4 - Accent 3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6">
    <w:name w:val="Grid Table 4 - Accent 4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7">
    <w:name w:val="Grid Table 4 - Accent 5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8">
    <w:name w:val="Grid Table 4 - Accent 6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9">
    <w:name w:val="Grid Table 5 Dark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70">
    <w:name w:val="Grid Table 5 Dark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73">
    <w:name w:val="Grid Table 5 Dark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76">
    <w:name w:val="Grid Table 6 Colorful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7">
    <w:name w:val="Grid Table 6 Colorful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8">
    <w:name w:val="Grid Table 6 Colorful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9">
    <w:name w:val="Grid Table 6 Colorful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0">
    <w:name w:val="Grid Table 6 Colorful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1">
    <w:name w:val="Grid Table 6 Colorful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2">
    <w:name w:val="Grid Table 6 Colorful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3">
    <w:name w:val="Grid Table 7 Colorful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8">
    <w:name w:val="List Table 2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9">
    <w:name w:val="List Table 2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0">
    <w:name w:val="List Table 2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1">
    <w:name w:val="List Table 2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2">
    <w:name w:val="List Table 2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3">
    <w:name w:val="List Table 2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4">
    <w:name w:val="List Table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5 Dark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6 Colorful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6">
    <w:name w:val="List Table 6 Colorful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7">
    <w:name w:val="List Table 6 Colorful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8">
    <w:name w:val="List Table 6 Colorful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9">
    <w:name w:val="List Table 6 Colorful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0">
    <w:name w:val="List Table 6 Colorful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1">
    <w:name w:val="List Table 6 Colorful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2">
    <w:name w:val="List Table 7 Colorful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3">
    <w:name w:val="List Table 7 Colorful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4">
    <w:name w:val="List Table 7 Colorful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5">
    <w:name w:val="List Table 7 Colorful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6">
    <w:name w:val="List Table 7 Colorful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7">
    <w:name w:val="List Table 7 Colorful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8">
    <w:name w:val="List Table 7 Colorful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9">
    <w:name w:val="Lined - Accent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0">
    <w:name w:val="Lined - Accent 1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1">
    <w:name w:val="Lined - Accent 2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2">
    <w:name w:val="Lined - Accent 3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3">
    <w:name w:val="Lined - Accent 4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4">
    <w:name w:val="Lined - Accent 5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5">
    <w:name w:val="Lined - Accent 6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6">
    <w:name w:val="Bordered &amp; Lined - Accent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7">
    <w:name w:val="Bordered &amp; Lined - Accent 1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8">
    <w:name w:val="Bordered &amp; Lined - Accent 2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9">
    <w:name w:val="Bordered &amp; Lined - Accent 3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50">
    <w:name w:val="Bordered &amp; Lined - Accent 4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51">
    <w:name w:val="Bordered &amp; Lined - Accent 5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52">
    <w:name w:val="Bordered &amp; Lined - Accent 6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53">
    <w:name w:val="Bordered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4">
    <w:name w:val="Bordered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5">
    <w:name w:val="Bordered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6">
    <w:name w:val="Bordered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7">
    <w:name w:val="Bordered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8">
    <w:name w:val="Bordered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9">
    <w:name w:val="Bordered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0">
    <w:name w:val="Footnote Text Char"/>
    <w:link w:val="920"/>
    <w:uiPriority w:val="99"/>
    <w:rPr>
      <w:sz w:val="18"/>
    </w:rPr>
  </w:style>
  <w:style w:type="paragraph" w:styleId="861">
    <w:name w:val="endnote text"/>
    <w:basedOn w:val="870"/>
    <w:link w:val="862"/>
    <w:uiPriority w:val="99"/>
    <w:semiHidden/>
    <w:unhideWhenUsed/>
    <w:pPr>
      <w:spacing w:after="0" w:line="240" w:lineRule="auto"/>
    </w:pPr>
    <w:rPr>
      <w:sz w:val="20"/>
    </w:rPr>
  </w:style>
  <w:style w:type="character" w:styleId="862">
    <w:name w:val="Endnote Text Char"/>
    <w:link w:val="861"/>
    <w:uiPriority w:val="99"/>
    <w:rPr>
      <w:sz w:val="20"/>
    </w:rPr>
  </w:style>
  <w:style w:type="character" w:styleId="863">
    <w:name w:val="endnote reference"/>
    <w:basedOn w:val="880"/>
    <w:uiPriority w:val="99"/>
    <w:semiHidden/>
    <w:unhideWhenUsed/>
    <w:rPr>
      <w:vertAlign w:val="superscript"/>
    </w:rPr>
  </w:style>
  <w:style w:type="paragraph" w:styleId="864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7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1">
    <w:name w:val="Heading 1"/>
    <w:basedOn w:val="870"/>
    <w:next w:val="870"/>
    <w:link w:val="883"/>
    <w:qFormat/>
    <w:pPr>
      <w:keepLines/>
      <w:keepNext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872">
    <w:name w:val="Heading 2"/>
    <w:basedOn w:val="870"/>
    <w:next w:val="870"/>
    <w:link w:val="884"/>
    <w:qFormat/>
    <w:pPr>
      <w:keepLines/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73">
    <w:name w:val="Heading 3"/>
    <w:basedOn w:val="870"/>
    <w:next w:val="870"/>
    <w:link w:val="885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paragraph" w:styleId="874">
    <w:name w:val="Heading 4"/>
    <w:basedOn w:val="870"/>
    <w:next w:val="870"/>
    <w:link w:val="886"/>
    <w:uiPriority w:val="9"/>
    <w:qFormat/>
    <w:pPr>
      <w:keepLines/>
      <w:keepNext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875">
    <w:name w:val="Heading 5"/>
    <w:basedOn w:val="870"/>
    <w:next w:val="870"/>
    <w:link w:val="887"/>
    <w:uiPriority w:val="9"/>
    <w:qFormat/>
    <w:pPr>
      <w:keepNext/>
      <w:outlineLvl w:val="4"/>
    </w:pPr>
    <w:rPr>
      <w:b/>
      <w:i/>
      <w:sz w:val="26"/>
      <w:szCs w:val="26"/>
    </w:rPr>
  </w:style>
  <w:style w:type="paragraph" w:styleId="876">
    <w:name w:val="Heading 6"/>
    <w:basedOn w:val="870"/>
    <w:next w:val="870"/>
    <w:link w:val="888"/>
    <w:uiPriority w:val="9"/>
    <w:qFormat/>
    <w:pPr>
      <w:ind w:firstLine="709"/>
      <w:jc w:val="right"/>
      <w:keepNext/>
      <w:outlineLvl w:val="5"/>
    </w:pPr>
    <w:rPr>
      <w:b/>
      <w:sz w:val="26"/>
      <w:szCs w:val="26"/>
    </w:rPr>
  </w:style>
  <w:style w:type="paragraph" w:styleId="877">
    <w:name w:val="Heading 7"/>
    <w:basedOn w:val="870"/>
    <w:next w:val="870"/>
    <w:link w:val="889"/>
    <w:qFormat/>
    <w:pPr>
      <w:ind w:left="3469" w:hanging="1296"/>
      <w:spacing w:before="240" w:after="60"/>
      <w:tabs>
        <w:tab w:val="num" w:pos="3469" w:leader="none"/>
      </w:tabs>
      <w:outlineLvl w:val="6"/>
    </w:pPr>
  </w:style>
  <w:style w:type="paragraph" w:styleId="878">
    <w:name w:val="Heading 8"/>
    <w:basedOn w:val="870"/>
    <w:next w:val="870"/>
    <w:link w:val="890"/>
    <w:uiPriority w:val="9"/>
    <w:qFormat/>
    <w:pPr>
      <w:keepLines/>
      <w:keepNext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879">
    <w:name w:val="Heading 9"/>
    <w:basedOn w:val="870"/>
    <w:next w:val="870"/>
    <w:link w:val="891"/>
    <w:uiPriority w:val="9"/>
    <w:qFormat/>
    <w:pPr>
      <w:jc w:val="center"/>
      <w:keepNext/>
      <w:outlineLvl w:val="8"/>
    </w:pPr>
    <w:rPr>
      <w:bCs/>
      <w:i/>
      <w:iCs/>
      <w:sz w:val="26"/>
      <w:szCs w:val="26"/>
    </w:rPr>
  </w:style>
  <w:style w:type="character" w:styleId="880" w:default="1">
    <w:name w:val="Default Paragraph Font"/>
    <w:uiPriority w:val="1"/>
    <w:semiHidden/>
    <w:unhideWhenUsed/>
  </w:style>
  <w:style w:type="table" w:styleId="8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2" w:default="1">
    <w:name w:val="No List"/>
    <w:uiPriority w:val="99"/>
    <w:semiHidden/>
    <w:unhideWhenUsed/>
  </w:style>
  <w:style w:type="character" w:styleId="883" w:customStyle="1">
    <w:name w:val="Заголовок 1 Знак"/>
    <w:basedOn w:val="880"/>
    <w:link w:val="871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884" w:customStyle="1">
    <w:name w:val="Заголовок 2 Знак"/>
    <w:basedOn w:val="880"/>
    <w:link w:val="872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885" w:customStyle="1">
    <w:name w:val="Заголовок 3 Знак"/>
    <w:basedOn w:val="880"/>
    <w:link w:val="873"/>
    <w:rPr>
      <w:rFonts w:ascii="Cambria" w:hAnsi="Cambria" w:eastAsia="Times New Roman" w:cs="Times New Roman"/>
      <w:b/>
      <w:bCs/>
      <w:color w:val="4f81bd"/>
      <w:sz w:val="24"/>
      <w:szCs w:val="24"/>
      <w:lang w:eastAsia="ru-RU"/>
    </w:rPr>
  </w:style>
  <w:style w:type="character" w:styleId="886" w:customStyle="1">
    <w:name w:val="Заголовок 4 Знак"/>
    <w:basedOn w:val="880"/>
    <w:link w:val="874"/>
    <w:uiPriority w:val="9"/>
    <w:rPr>
      <w:rFonts w:ascii="Cambria" w:hAnsi="Cambria" w:eastAsia="Times New Roman" w:cs="Times New Roman"/>
      <w:b/>
      <w:bCs/>
      <w:i/>
      <w:iCs/>
      <w:color w:val="4f81bd"/>
      <w:sz w:val="24"/>
      <w:szCs w:val="24"/>
      <w:lang w:eastAsia="ru-RU"/>
    </w:rPr>
  </w:style>
  <w:style w:type="character" w:styleId="887" w:customStyle="1">
    <w:name w:val="Заголовок 5 Знак"/>
    <w:basedOn w:val="880"/>
    <w:link w:val="875"/>
    <w:uiPriority w:val="9"/>
    <w:rPr>
      <w:rFonts w:ascii="Times New Roman" w:hAnsi="Times New Roman" w:eastAsia="Times New Roman" w:cs="Times New Roman"/>
      <w:b/>
      <w:i/>
      <w:sz w:val="26"/>
      <w:szCs w:val="26"/>
      <w:lang w:eastAsia="ru-RU"/>
    </w:rPr>
  </w:style>
  <w:style w:type="character" w:styleId="888" w:customStyle="1">
    <w:name w:val="Заголовок 6 Знак"/>
    <w:basedOn w:val="880"/>
    <w:link w:val="876"/>
    <w:uiPriority w:val="9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character" w:styleId="889" w:customStyle="1">
    <w:name w:val="Заголовок 7 Знак"/>
    <w:basedOn w:val="880"/>
    <w:link w:val="87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0" w:customStyle="1">
    <w:name w:val="Заголовок 8 Знак"/>
    <w:basedOn w:val="880"/>
    <w:link w:val="878"/>
    <w:uiPriority w:val="9"/>
    <w:rPr>
      <w:rFonts w:ascii="Cambria" w:hAnsi="Cambria" w:eastAsia="Times New Roman" w:cs="Times New Roman"/>
      <w:color w:val="404040"/>
      <w:sz w:val="20"/>
      <w:szCs w:val="20"/>
      <w:lang w:eastAsia="ru-RU"/>
    </w:rPr>
  </w:style>
  <w:style w:type="character" w:styleId="891" w:customStyle="1">
    <w:name w:val="Заголовок 9 Знак"/>
    <w:basedOn w:val="880"/>
    <w:link w:val="879"/>
    <w:uiPriority w:val="9"/>
    <w:rPr>
      <w:rFonts w:ascii="Times New Roman" w:hAnsi="Times New Roman" w:eastAsia="Times New Roman" w:cs="Times New Roman"/>
      <w:bCs/>
      <w:i/>
      <w:iCs/>
      <w:sz w:val="26"/>
      <w:szCs w:val="26"/>
      <w:lang w:eastAsia="ru-RU"/>
    </w:rPr>
  </w:style>
  <w:style w:type="paragraph" w:styleId="892" w:customStyle="1">
    <w:name w:val="заголовок 11"/>
    <w:basedOn w:val="870"/>
    <w:next w:val="870"/>
    <w:pPr>
      <w:jc w:val="center"/>
      <w:keepNext/>
    </w:pPr>
    <w:rPr>
      <w:sz w:val="20"/>
      <w:szCs w:val="20"/>
    </w:rPr>
  </w:style>
  <w:style w:type="paragraph" w:styleId="893" w:customStyle="1">
    <w:name w:val="rvps1"/>
    <w:basedOn w:val="870"/>
    <w:pPr>
      <w:jc w:val="center"/>
    </w:pPr>
  </w:style>
  <w:style w:type="character" w:styleId="894">
    <w:name w:val="Hyperlink"/>
    <w:uiPriority w:val="99"/>
    <w:unhideWhenUsed/>
    <w:rPr>
      <w:color w:val="0000ff"/>
      <w:u w:val="single"/>
    </w:rPr>
  </w:style>
  <w:style w:type="paragraph" w:styleId="895">
    <w:name w:val="List Paragraph"/>
    <w:basedOn w:val="870"/>
    <w:uiPriority w:val="34"/>
    <w:qFormat/>
    <w:pPr>
      <w:contextualSpacing/>
      <w:ind w:left="720"/>
    </w:pPr>
  </w:style>
  <w:style w:type="paragraph" w:styleId="896">
    <w:name w:val="toc 1"/>
    <w:basedOn w:val="870"/>
    <w:next w:val="870"/>
    <w:uiPriority w:val="39"/>
    <w:qFormat/>
    <w:pPr>
      <w:ind w:left="34" w:firstLine="1"/>
      <w:jc w:val="both"/>
    </w:pPr>
  </w:style>
  <w:style w:type="paragraph" w:styleId="897">
    <w:name w:val="toc 2"/>
    <w:basedOn w:val="870"/>
    <w:next w:val="870"/>
    <w:uiPriority w:val="39"/>
    <w:qFormat/>
    <w:pPr>
      <w:numPr>
        <w:ilvl w:val="0"/>
        <w:numId w:val="1"/>
      </w:numPr>
      <w:ind w:left="0"/>
      <w:tabs>
        <w:tab w:val="right" w:pos="10196" w:leader="dot"/>
      </w:tabs>
    </w:pPr>
    <w:rPr>
      <w:rFonts w:eastAsia="MS Mincho"/>
      <w:b/>
      <w:i/>
      <w:iCs/>
    </w:rPr>
  </w:style>
  <w:style w:type="paragraph" w:styleId="898">
    <w:name w:val="Header"/>
    <w:basedOn w:val="870"/>
    <w:link w:val="899"/>
    <w:unhideWhenUsed/>
    <w:pPr>
      <w:tabs>
        <w:tab w:val="center" w:pos="4677" w:leader="none"/>
        <w:tab w:val="right" w:pos="9355" w:leader="none"/>
      </w:tabs>
    </w:pPr>
  </w:style>
  <w:style w:type="character" w:styleId="899" w:customStyle="1">
    <w:name w:val="Верхний колонтитул Знак"/>
    <w:basedOn w:val="880"/>
    <w:link w:val="898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0">
    <w:name w:val="Footer"/>
    <w:basedOn w:val="870"/>
    <w:link w:val="90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1" w:customStyle="1">
    <w:name w:val="Нижний колонтитул Знак"/>
    <w:basedOn w:val="880"/>
    <w:link w:val="90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2">
    <w:name w:val="Balloon Text"/>
    <w:basedOn w:val="870"/>
    <w:link w:val="903"/>
    <w:uiPriority w:val="99"/>
    <w:semiHidden/>
    <w:unhideWhenUsed/>
    <w:rPr>
      <w:rFonts w:ascii="Tahoma" w:hAnsi="Tahoma" w:cs="Tahoma"/>
      <w:sz w:val="16"/>
      <w:szCs w:val="16"/>
    </w:rPr>
  </w:style>
  <w:style w:type="character" w:styleId="903" w:customStyle="1">
    <w:name w:val="Текст выноски Знак"/>
    <w:basedOn w:val="880"/>
    <w:link w:val="90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904">
    <w:name w:val="Table Grid"/>
    <w:basedOn w:val="881"/>
    <w:uiPriority w:val="59"/>
    <w:pPr>
      <w:spacing w:after="0" w:line="240" w:lineRule="auto"/>
    </w:pPr>
    <w:rPr>
      <w:rFonts w:ascii="Times New Roman" w:hAnsi="Times New Roman" w:eastAsia="Calibri" w:cs="Arial"/>
      <w:color w:val="000000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5">
    <w:name w:val="Normal (Web)"/>
    <w:basedOn w:val="870"/>
    <w:link w:val="945"/>
    <w:pPr>
      <w:spacing w:before="100" w:beforeAutospacing="1" w:after="100" w:afterAutospacing="1"/>
    </w:pPr>
  </w:style>
  <w:style w:type="paragraph" w:styleId="906" w:customStyle="1">
    <w:name w:val="Times 12"/>
    <w:basedOn w:val="870"/>
    <w:uiPriority w:val="99"/>
    <w:qFormat/>
    <w:pPr>
      <w:ind w:firstLine="567"/>
      <w:jc w:val="both"/>
    </w:pPr>
    <w:rPr>
      <w:bCs/>
      <w:sz w:val="22"/>
      <w:szCs w:val="22"/>
    </w:rPr>
  </w:style>
  <w:style w:type="paragraph" w:styleId="907" w:customStyle="1">
    <w:name w:val="rvps9"/>
    <w:basedOn w:val="870"/>
    <w:pPr>
      <w:jc w:val="both"/>
    </w:pPr>
  </w:style>
  <w:style w:type="paragraph" w:styleId="908" w:customStyle="1">
    <w:name w:val="Стиль3"/>
    <w:basedOn w:val="909"/>
    <w:pPr>
      <w:ind w:left="1080"/>
      <w:jc w:val="both"/>
      <w:spacing w:after="0" w:line="240" w:lineRule="auto"/>
      <w:widowControl w:val="off"/>
      <w:tabs>
        <w:tab w:val="num" w:pos="1307" w:leader="none"/>
      </w:tabs>
    </w:pPr>
    <w:rPr>
      <w:sz w:val="20"/>
      <w:szCs w:val="20"/>
    </w:rPr>
  </w:style>
  <w:style w:type="paragraph" w:styleId="909">
    <w:name w:val="Body Text Indent 2"/>
    <w:basedOn w:val="870"/>
    <w:link w:val="910"/>
    <w:uiPriority w:val="99"/>
    <w:semiHidden/>
    <w:unhideWhenUsed/>
    <w:pPr>
      <w:ind w:left="283"/>
      <w:spacing w:after="120" w:line="480" w:lineRule="auto"/>
    </w:pPr>
  </w:style>
  <w:style w:type="character" w:styleId="910" w:customStyle="1">
    <w:name w:val="Основной текст с отступом 2 Знак"/>
    <w:basedOn w:val="880"/>
    <w:link w:val="909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1">
    <w:name w:val="Plain Text"/>
    <w:basedOn w:val="870"/>
    <w:link w:val="912"/>
    <w:rPr>
      <w:rFonts w:ascii="Courier New" w:hAnsi="Courier New"/>
      <w:sz w:val="20"/>
      <w:szCs w:val="20"/>
    </w:rPr>
  </w:style>
  <w:style w:type="character" w:styleId="912" w:customStyle="1">
    <w:name w:val="Текст Знак"/>
    <w:basedOn w:val="880"/>
    <w:link w:val="911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913" w:customStyle="1">
    <w:name w:val="Таблица шапка"/>
    <w:basedOn w:val="870"/>
    <w:pPr>
      <w:ind w:left="57" w:right="57"/>
      <w:keepNext/>
      <w:spacing w:before="40" w:after="40"/>
    </w:pPr>
    <w:rPr>
      <w:sz w:val="22"/>
      <w:szCs w:val="20"/>
    </w:rPr>
  </w:style>
  <w:style w:type="paragraph" w:styleId="914" w:customStyle="1">
    <w:name w:val="Таблица текст"/>
    <w:basedOn w:val="870"/>
    <w:pPr>
      <w:ind w:left="57" w:right="57"/>
      <w:spacing w:before="40" w:after="40"/>
    </w:pPr>
    <w:rPr>
      <w:sz w:val="20"/>
      <w:szCs w:val="20"/>
    </w:rPr>
  </w:style>
  <w:style w:type="character" w:styleId="915" w:customStyle="1">
    <w:name w:val="Ариал Знак1"/>
    <w:link w:val="916"/>
    <w:rPr>
      <w:rFonts w:ascii="Arial" w:hAnsi="Arial" w:cs="Arial"/>
    </w:rPr>
  </w:style>
  <w:style w:type="paragraph" w:styleId="916" w:customStyle="1">
    <w:name w:val="Ариал"/>
    <w:basedOn w:val="870"/>
    <w:link w:val="915"/>
    <w:pPr>
      <w:ind w:firstLine="851"/>
      <w:jc w:val="both"/>
      <w:spacing w:before="120" w:after="120" w:line="360" w:lineRule="auto"/>
    </w:pPr>
    <w:rPr>
      <w:rFonts w:ascii="Arial" w:hAnsi="Arial" w:eastAsia="Calibri" w:cs="Arial"/>
      <w:sz w:val="22"/>
      <w:szCs w:val="22"/>
      <w:lang w:eastAsia="en-US"/>
    </w:rPr>
  </w:style>
  <w:style w:type="paragraph" w:styleId="917" w:customStyle="1">
    <w:name w:val="Пункт б/н"/>
    <w:basedOn w:val="870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918" w:customStyle="1">
    <w:name w:val="Ариал Таблица Знак"/>
    <w:link w:val="919"/>
    <w:rPr>
      <w:rFonts w:ascii="Arial" w:hAnsi="Arial" w:cs="Arial"/>
    </w:rPr>
  </w:style>
  <w:style w:type="paragraph" w:styleId="919" w:customStyle="1">
    <w:name w:val="Ариал Таблица"/>
    <w:basedOn w:val="916"/>
    <w:link w:val="918"/>
    <w:pPr>
      <w:ind w:firstLine="0"/>
      <w:spacing w:before="0" w:after="0" w:line="240" w:lineRule="auto"/>
      <w:widowControl w:val="off"/>
    </w:pPr>
  </w:style>
  <w:style w:type="paragraph" w:styleId="920">
    <w:name w:val="footnote text"/>
    <w:basedOn w:val="870"/>
    <w:link w:val="921"/>
    <w:unhideWhenUsed/>
    <w:rPr>
      <w:sz w:val="20"/>
      <w:szCs w:val="20"/>
    </w:rPr>
  </w:style>
  <w:style w:type="character" w:styleId="921" w:customStyle="1">
    <w:name w:val="Текст сноски Знак"/>
    <w:basedOn w:val="880"/>
    <w:link w:val="92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22">
    <w:name w:val="footnote reference"/>
    <w:unhideWhenUsed/>
    <w:rPr>
      <w:vertAlign w:val="superscript"/>
    </w:rPr>
  </w:style>
  <w:style w:type="paragraph" w:styleId="923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924">
    <w:name w:val="page number"/>
    <w:basedOn w:val="880"/>
  </w:style>
  <w:style w:type="paragraph" w:styleId="925" w:customStyle="1">
    <w:name w:val="rvps46"/>
    <w:basedOn w:val="870"/>
    <w:pPr>
      <w:spacing w:before="120" w:after="120"/>
    </w:pPr>
  </w:style>
  <w:style w:type="character" w:styleId="926">
    <w:name w:val="annotation reference"/>
    <w:uiPriority w:val="99"/>
    <w:unhideWhenUsed/>
    <w:rPr>
      <w:sz w:val="16"/>
      <w:szCs w:val="16"/>
    </w:rPr>
  </w:style>
  <w:style w:type="paragraph" w:styleId="927">
    <w:name w:val="annotation text"/>
    <w:basedOn w:val="870"/>
    <w:link w:val="928"/>
    <w:uiPriority w:val="99"/>
    <w:unhideWhenUsed/>
    <w:rPr>
      <w:sz w:val="20"/>
      <w:szCs w:val="20"/>
    </w:rPr>
  </w:style>
  <w:style w:type="character" w:styleId="928" w:customStyle="1">
    <w:name w:val="Текст примечания Знак"/>
    <w:basedOn w:val="880"/>
    <w:link w:val="92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9">
    <w:name w:val="annotation subject"/>
    <w:basedOn w:val="927"/>
    <w:next w:val="927"/>
    <w:link w:val="930"/>
    <w:uiPriority w:val="99"/>
    <w:semiHidden/>
    <w:unhideWhenUsed/>
    <w:rPr>
      <w:b/>
      <w:bCs/>
    </w:rPr>
  </w:style>
  <w:style w:type="character" w:styleId="930" w:customStyle="1">
    <w:name w:val="Тема примечания Знак"/>
    <w:basedOn w:val="928"/>
    <w:link w:val="92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31">
    <w:name w:val="Body Text Indent"/>
    <w:basedOn w:val="870"/>
    <w:link w:val="932"/>
    <w:uiPriority w:val="99"/>
    <w:unhideWhenUsed/>
    <w:pPr>
      <w:ind w:firstLine="567"/>
      <w:jc w:val="both"/>
    </w:pPr>
    <w:rPr>
      <w:b/>
      <w:sz w:val="26"/>
      <w:szCs w:val="26"/>
    </w:rPr>
  </w:style>
  <w:style w:type="character" w:styleId="932" w:customStyle="1">
    <w:name w:val="Основной текст с отступом Знак"/>
    <w:basedOn w:val="880"/>
    <w:link w:val="931"/>
    <w:uiPriority w:val="99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paragraph" w:styleId="933">
    <w:name w:val="Body Text"/>
    <w:basedOn w:val="870"/>
    <w:link w:val="934"/>
    <w:uiPriority w:val="99"/>
    <w:unhideWhenUsed/>
    <w:rPr>
      <w:i/>
      <w:sz w:val="26"/>
      <w:szCs w:val="26"/>
    </w:rPr>
  </w:style>
  <w:style w:type="character" w:styleId="934" w:customStyle="1">
    <w:name w:val="Основной текст Знак"/>
    <w:basedOn w:val="880"/>
    <w:link w:val="933"/>
    <w:uiPriority w:val="99"/>
    <w:rPr>
      <w:rFonts w:ascii="Times New Roman" w:hAnsi="Times New Roman" w:eastAsia="Times New Roman" w:cs="Times New Roman"/>
      <w:i/>
      <w:sz w:val="26"/>
      <w:szCs w:val="26"/>
      <w:lang w:eastAsia="ru-RU"/>
    </w:rPr>
  </w:style>
  <w:style w:type="paragraph" w:styleId="935">
    <w:name w:val="Body Text 2"/>
    <w:basedOn w:val="870"/>
    <w:link w:val="936"/>
    <w:uiPriority w:val="99"/>
    <w:unhideWhenUsed/>
    <w:rPr>
      <w:i/>
      <w:color w:val="ff0000"/>
      <w:sz w:val="26"/>
      <w:szCs w:val="26"/>
    </w:rPr>
  </w:style>
  <w:style w:type="character" w:styleId="936" w:customStyle="1">
    <w:name w:val="Основной текст 2 Знак"/>
    <w:basedOn w:val="880"/>
    <w:link w:val="935"/>
    <w:uiPriority w:val="99"/>
    <w:rPr>
      <w:rFonts w:ascii="Times New Roman" w:hAnsi="Times New Roman" w:eastAsia="Times New Roman" w:cs="Times New Roman"/>
      <w:i/>
      <w:color w:val="ff0000"/>
      <w:sz w:val="26"/>
      <w:szCs w:val="26"/>
      <w:lang w:eastAsia="ru-RU"/>
    </w:rPr>
  </w:style>
  <w:style w:type="paragraph" w:styleId="937" w:customStyle="1">
    <w:name w:val="Пункт"/>
    <w:basedOn w:val="870"/>
    <w:pPr>
      <w:ind w:left="1404" w:hanging="504"/>
      <w:jc w:val="both"/>
      <w:tabs>
        <w:tab w:val="num" w:pos="1980" w:leader="none"/>
      </w:tabs>
    </w:pPr>
    <w:rPr>
      <w:sz w:val="28"/>
      <w:szCs w:val="28"/>
    </w:rPr>
  </w:style>
  <w:style w:type="paragraph" w:styleId="938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39">
    <w:name w:val="TOC Heading"/>
    <w:basedOn w:val="871"/>
    <w:next w:val="870"/>
    <w:uiPriority w:val="39"/>
    <w:qFormat/>
    <w:pPr>
      <w:spacing w:line="276" w:lineRule="auto"/>
      <w:outlineLvl w:val="9"/>
    </w:pPr>
  </w:style>
  <w:style w:type="paragraph" w:styleId="940">
    <w:name w:val="toc 3"/>
    <w:basedOn w:val="870"/>
    <w:next w:val="870"/>
    <w:uiPriority w:val="39"/>
    <w:unhideWhenUsed/>
    <w:qFormat/>
    <w:pPr>
      <w:ind w:left="440"/>
      <w:spacing w:after="100" w:line="276" w:lineRule="auto"/>
    </w:pPr>
    <w:rPr>
      <w:rFonts w:ascii="Calibri" w:hAnsi="Calibri"/>
      <w:sz w:val="22"/>
      <w:szCs w:val="22"/>
    </w:rPr>
  </w:style>
  <w:style w:type="paragraph" w:styleId="941">
    <w:name w:val="Body Text 3"/>
    <w:basedOn w:val="870"/>
    <w:link w:val="942"/>
    <w:uiPriority w:val="99"/>
    <w:unhideWhenUsed/>
    <w:rPr>
      <w:sz w:val="26"/>
      <w:szCs w:val="26"/>
    </w:rPr>
  </w:style>
  <w:style w:type="character" w:styleId="942" w:customStyle="1">
    <w:name w:val="Основной текст 3 Знак"/>
    <w:basedOn w:val="880"/>
    <w:link w:val="941"/>
    <w:uiPriority w:val="99"/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943">
    <w:name w:val="Body Text Indent 3"/>
    <w:basedOn w:val="870"/>
    <w:link w:val="944"/>
    <w:uiPriority w:val="99"/>
    <w:unhideWhenUsed/>
    <w:pPr>
      <w:ind w:left="16"/>
      <w:jc w:val="both"/>
      <w:tabs>
        <w:tab w:val="num" w:pos="1200" w:leader="none"/>
      </w:tabs>
    </w:pPr>
    <w:rPr>
      <w:i/>
      <w:color w:val="808080"/>
    </w:rPr>
  </w:style>
  <w:style w:type="character" w:styleId="944" w:customStyle="1">
    <w:name w:val="Основной текст с отступом 3 Знак"/>
    <w:basedOn w:val="880"/>
    <w:link w:val="943"/>
    <w:uiPriority w:val="99"/>
    <w:rPr>
      <w:rFonts w:ascii="Times New Roman" w:hAnsi="Times New Roman" w:eastAsia="Times New Roman" w:cs="Times New Roman"/>
      <w:i/>
      <w:color w:val="808080"/>
      <w:sz w:val="24"/>
      <w:szCs w:val="24"/>
      <w:lang w:eastAsia="ru-RU"/>
    </w:rPr>
  </w:style>
  <w:style w:type="character" w:styleId="945" w:customStyle="1">
    <w:name w:val="Обычный (Интернет) Знак"/>
    <w:link w:val="90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6">
    <w:name w:val="Block Text"/>
    <w:basedOn w:val="870"/>
    <w:uiPriority w:val="99"/>
    <w:unhideWhenUsed/>
    <w:pPr>
      <w:contextualSpacing/>
      <w:ind w:left="16" w:right="113"/>
      <w:jc w:val="both"/>
      <w:spacing w:after="200" w:line="276" w:lineRule="auto"/>
      <w:tabs>
        <w:tab w:val="left" w:pos="16" w:leader="none"/>
      </w:tabs>
    </w:pPr>
    <w:rPr>
      <w:sz w:val="26"/>
      <w:szCs w:val="26"/>
      <w:lang w:eastAsia="en-US"/>
    </w:rPr>
  </w:style>
  <w:style w:type="paragraph" w:styleId="947" w:customStyle="1">
    <w:name w:val="çàãîëîâîê 2"/>
    <w:basedOn w:val="870"/>
    <w:next w:val="870"/>
    <w:pPr>
      <w:jc w:val="both"/>
      <w:keepNext/>
    </w:pPr>
    <w:rPr>
      <w:sz w:val="20"/>
      <w:szCs w:val="20"/>
      <w:lang w:val="en-GB"/>
    </w:rPr>
  </w:style>
  <w:style w:type="paragraph" w:styleId="948" w:customStyle="1">
    <w:name w:val="Абзац списка1"/>
    <w:basedOn w:val="87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49" w:customStyle="1">
    <w:name w:val="Текст документа"/>
    <w:basedOn w:val="870"/>
    <w:link w:val="950"/>
    <w:uiPriority w:val="99"/>
    <w:pPr>
      <w:ind w:firstLine="720"/>
      <w:jc w:val="both"/>
      <w:spacing w:line="360" w:lineRule="auto"/>
    </w:pPr>
  </w:style>
  <w:style w:type="character" w:styleId="950" w:customStyle="1">
    <w:name w:val="Текст документа Знак"/>
    <w:link w:val="94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1">
    <w:name w:val="FollowedHyperlink"/>
    <w:uiPriority w:val="99"/>
    <w:semiHidden/>
    <w:unhideWhenUsed/>
    <w:rPr>
      <w:color w:val="800080"/>
      <w:u w:val="single"/>
    </w:rPr>
  </w:style>
  <w:style w:type="paragraph" w:styleId="952" w:customStyle="1">
    <w:name w:val="Default"/>
    <w:pPr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numbering" w:styleId="953" w:customStyle="1">
    <w:name w:val="Стиль4"/>
    <w:pPr>
      <w:numPr>
        <w:ilvl w:val="0"/>
        <w:numId w:val="2"/>
      </w:numPr>
    </w:pPr>
  </w:style>
  <w:style w:type="paragraph" w:styleId="954" w:customStyle="1">
    <w:name w:val="Char Char4 Знак Знак Char Char Знак Знак Char Char Знак Char Char"/>
    <w:basedOn w:val="870"/>
    <w:semiHidden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955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6" w:customStyle="1">
    <w:name w:val="NVG Bullet"/>
    <w:basedOn w:val="870"/>
    <w:pPr>
      <w:numPr>
        <w:ilvl w:val="0"/>
        <w:numId w:val="3"/>
      </w:numPr>
      <w:spacing w:before="120"/>
    </w:pPr>
    <w:rPr>
      <w:rFonts w:ascii="Arial" w:hAnsi="Arial"/>
      <w:lang w:val="en-US" w:eastAsia="ar-SA"/>
    </w:rPr>
  </w:style>
  <w:style w:type="paragraph" w:styleId="957" w:customStyle="1">
    <w:name w:val="Текст_бюл"/>
    <w:basedOn w:val="911"/>
    <w:link w:val="958"/>
    <w:pPr>
      <w:numPr>
        <w:ilvl w:val="0"/>
        <w:numId w:val="4"/>
      </w:numPr>
      <w:ind w:left="851" w:hanging="284"/>
      <w:jc w:val="both"/>
      <w:tabs>
        <w:tab w:val="num" w:pos="360" w:leader="none"/>
        <w:tab w:val="left" w:pos="851" w:leader="none"/>
      </w:tabs>
    </w:pPr>
    <w:rPr>
      <w:rFonts w:ascii="Times New Roman" w:hAnsi="Times New Roman" w:eastAsia="MS Mincho"/>
      <w:bCs/>
      <w:sz w:val="26"/>
      <w:szCs w:val="24"/>
    </w:rPr>
  </w:style>
  <w:style w:type="character" w:styleId="958" w:customStyle="1">
    <w:name w:val="Текст_бюл Знак"/>
    <w:link w:val="957"/>
    <w:rPr>
      <w:rFonts w:ascii="Times New Roman" w:hAnsi="Times New Roman" w:eastAsia="MS Mincho" w:cs="Times New Roman"/>
      <w:bCs/>
      <w:sz w:val="26"/>
      <w:szCs w:val="24"/>
      <w:lang w:eastAsia="ru-RU"/>
    </w:rPr>
  </w:style>
  <w:style w:type="character" w:styleId="959" w:customStyle="1">
    <w:name w:val="Font Style29"/>
    <w:basedOn w:val="880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960" w:customStyle="1">
    <w:name w:val="Style14"/>
    <w:basedOn w:val="870"/>
    <w:uiPriority w:val="99"/>
    <w:pPr>
      <w:ind w:firstLine="581"/>
      <w:jc w:val="both"/>
      <w:spacing w:line="344" w:lineRule="exact"/>
      <w:widowControl w:val="off"/>
    </w:pPr>
    <w:rPr>
      <w:rFonts w:eastAsia="Calibri"/>
    </w:rPr>
  </w:style>
  <w:style w:type="paragraph" w:styleId="961" w:customStyle="1">
    <w:name w:val="Термин"/>
    <w:basedOn w:val="911"/>
    <w:pPr>
      <w:ind w:left="567"/>
      <w:jc w:val="both"/>
    </w:pPr>
    <w:rPr>
      <w:rFonts w:ascii="Times New Roman" w:hAnsi="Times New Roman" w:cs="Courier New"/>
      <w:sz w:val="26"/>
    </w:rPr>
  </w:style>
  <w:style w:type="paragraph" w:styleId="962">
    <w:name w:val="List Bullet 3"/>
    <w:basedOn w:val="870"/>
    <w:pPr>
      <w:jc w:val="both"/>
      <w:tabs>
        <w:tab w:val="left" w:pos="-108" w:leader="none"/>
      </w:tabs>
    </w:pPr>
    <w:rPr>
      <w:rFonts w:ascii="Arial" w:hAnsi="Arial" w:cs="Arial"/>
      <w:bCs/>
      <w:sz w:val="22"/>
      <w:szCs w:val="22"/>
    </w:rPr>
  </w:style>
  <w:style w:type="character" w:styleId="963">
    <w:name w:val="Unresolved Mention"/>
    <w:basedOn w:val="880"/>
    <w:uiPriority w:val="99"/>
    <w:semiHidden/>
    <w:unhideWhenUsed/>
    <w:rPr>
      <w:color w:val="605e5c"/>
      <w:shd w:val="clear" w:color="e1dfdd" w:fill="e1dfdd"/>
    </w:rPr>
  </w:style>
  <w:style w:type="paragraph" w:styleId="964">
    <w:name w:val="Обычный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u w:val="none"/>
      <w:vertAlign w:val="baseline"/>
      <w:rtl w:val="0"/>
      <w:cs w:val="0"/>
      <w:lang w:val="ru-RU" w:eastAsia="ru-RU" w:bidi="ar-SA"/>
    </w:rPr>
  </w:style>
  <w:style w:type="paragraph" w:styleId="965">
    <w:name w:val="Основной текст 3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  <w:rtl w:val="0"/>
      <w:cs w:val="0"/>
      <w:lang w:val="ru-RU" w:eastAsia="ru-RU" w:bidi="ar-SA"/>
    </w:rPr>
  </w:style>
  <w:style w:type="paragraph" w:styleId="966" w:customStyle="1">
    <w:name w:val="Основной текст2"/>
    <w:basedOn w:val="859"/>
    <w:link w:val="864"/>
    <w:pPr>
      <w:contextualSpacing w:val="0"/>
      <w:ind w:left="0" w:right="0" w:firstLine="0"/>
      <w:jc w:val="right"/>
      <w:keepLines w:val="0"/>
      <w:keepNext w:val="0"/>
      <w:pageBreakBefore w:val="0"/>
      <w:spacing w:before="0" w:beforeAutospacing="0" w:after="0" w:afterAutospacing="0" w:line="0" w:lineRule="atLeast"/>
      <w:shd w:val="clear" w:color="ffffff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3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</w:rPr>
  </w:style>
  <w:style w:type="paragraph" w:styleId="967" w:customStyle="1">
    <w:name w:val="Основной текст (2)"/>
    <w:basedOn w:val="859"/>
    <w:link w:val="866"/>
    <w:pPr>
      <w:contextualSpacing w:val="0"/>
      <w:ind w:left="0" w:right="0" w:firstLine="0"/>
      <w:jc w:val="right"/>
      <w:keepLines w:val="0"/>
      <w:keepNext w:val="0"/>
      <w:pageBreakBefore w:val="0"/>
      <w:spacing w:before="0" w:beforeAutospacing="0" w:after="0" w:afterAutospacing="0" w:line="0" w:lineRule="atLeast"/>
      <w:shd w:val="clear" w:color="ffffff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5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http://www.rts-tender.ru" TargetMode="External"/><Relationship Id="rId12" Type="http://schemas.openxmlformats.org/officeDocument/2006/relationships/hyperlink" Target="consultantplus://offline/ref=04C69D67FA7F00F8B2D92E624E108DE4AEA01442D49672C188D2DD2BF89EA41C613D87F19E3D74ED824B5019CC5567396D673E8E60DD755Fj7Z6L" TargetMode="External"/><Relationship Id="rId13" Type="http://schemas.openxmlformats.org/officeDocument/2006/relationships/hyperlink" Target="http://www.rts-tender.ru" TargetMode="External"/><Relationship Id="rId14" Type="http://schemas.openxmlformats.org/officeDocument/2006/relationships/hyperlink" Target="consultantplus://offline/ref=C40AFE508C514D370134858A427D488572E28F346EB751B3176E2E17DCF8B6FF67495B5Eo2J" TargetMode="External"/><Relationship Id="rId15" Type="http://schemas.openxmlformats.org/officeDocument/2006/relationships/hyperlink" Target="mailto:dizo@adm44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Дмитрий Игоревич</dc:creator>
  <cp:lastModifiedBy>bushmanovan</cp:lastModifiedBy>
  <cp:revision>100</cp:revision>
  <dcterms:created xsi:type="dcterms:W3CDTF">2020-09-23T12:31:00Z</dcterms:created>
  <dcterms:modified xsi:type="dcterms:W3CDTF">2025-12-22T07:20:15Z</dcterms:modified>
</cp:coreProperties>
</file>